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AB14A" w14:textId="38ECDE8B" w:rsidR="00C83649" w:rsidRPr="002B12BD" w:rsidRDefault="00552B20" w:rsidP="002B12BD">
      <w:pPr>
        <w:spacing w:line="288" w:lineRule="auto"/>
        <w:jc w:val="center"/>
        <w:rPr>
          <w:rFonts w:ascii="Times New Roman" w:hAnsi="Times New Roman" w:cs="Times New Roman"/>
          <w:b/>
          <w:bCs/>
        </w:rPr>
      </w:pPr>
      <w:r w:rsidRPr="002B12BD">
        <w:rPr>
          <w:rFonts w:ascii="Times New Roman" w:hAnsi="Times New Roman" w:cs="Times New Roman"/>
          <w:b/>
          <w:bCs/>
        </w:rPr>
        <w:t>Non-flammable Electrolytes for Li-ion Batteries (LIB)</w:t>
      </w:r>
    </w:p>
    <w:p w14:paraId="437AC0C1" w14:textId="77777777" w:rsidR="00552B20" w:rsidRDefault="00552B20" w:rsidP="00811191">
      <w:pPr>
        <w:spacing w:line="288" w:lineRule="auto"/>
        <w:rPr>
          <w:rFonts w:ascii="Times New Roman" w:hAnsi="Times New Roman" w:cs="Times New Roman"/>
        </w:rPr>
      </w:pPr>
    </w:p>
    <w:p w14:paraId="19ECDD92" w14:textId="2CF55A02" w:rsidR="00552B20" w:rsidRDefault="00552B20" w:rsidP="002B12BD">
      <w:pPr>
        <w:spacing w:line="288" w:lineRule="auto"/>
        <w:jc w:val="center"/>
        <w:rPr>
          <w:rFonts w:ascii="Times New Roman" w:hAnsi="Times New Roman" w:cs="Times New Roman"/>
        </w:rPr>
      </w:pPr>
      <w:r>
        <w:rPr>
          <w:rFonts w:ascii="Times New Roman" w:hAnsi="Times New Roman" w:cs="Times New Roman"/>
        </w:rPr>
        <w:t>Dong Ok Kim</w:t>
      </w:r>
    </w:p>
    <w:p w14:paraId="4831E657" w14:textId="2FA64D36" w:rsidR="00552B20" w:rsidRDefault="00552B20" w:rsidP="002B12BD">
      <w:pPr>
        <w:spacing w:line="288" w:lineRule="auto"/>
        <w:jc w:val="center"/>
        <w:rPr>
          <w:rFonts w:ascii="Times New Roman" w:hAnsi="Times New Roman" w:cs="Times New Roman"/>
        </w:rPr>
      </w:pPr>
      <w:r>
        <w:rPr>
          <w:rFonts w:ascii="Times New Roman" w:hAnsi="Times New Roman" w:cs="Times New Roman"/>
        </w:rPr>
        <w:t>Department of Chemistry, University of Illinois at Urbana-Champaign, Urbana, IL 61801 USA</w:t>
      </w:r>
    </w:p>
    <w:p w14:paraId="0CE9C5C8" w14:textId="3DE86137" w:rsidR="002B12BD" w:rsidRDefault="002B12BD" w:rsidP="002B12BD">
      <w:pPr>
        <w:spacing w:line="288" w:lineRule="auto"/>
        <w:jc w:val="center"/>
        <w:rPr>
          <w:rFonts w:ascii="Times New Roman" w:hAnsi="Times New Roman" w:cs="Times New Roman"/>
        </w:rPr>
      </w:pPr>
      <w:r>
        <w:rPr>
          <w:rFonts w:ascii="Times New Roman" w:hAnsi="Times New Roman" w:cs="Times New Roman"/>
        </w:rPr>
        <w:t>NPRE 498: Energy Storage systems, Fall 2023</w:t>
      </w:r>
    </w:p>
    <w:p w14:paraId="6E9CDB6F" w14:textId="77777777" w:rsidR="002B12BD" w:rsidRDefault="002B12BD" w:rsidP="002B12BD">
      <w:pPr>
        <w:spacing w:line="288" w:lineRule="auto"/>
        <w:jc w:val="center"/>
        <w:rPr>
          <w:rFonts w:ascii="Times New Roman" w:hAnsi="Times New Roman" w:cs="Times New Roman"/>
        </w:rPr>
      </w:pPr>
    </w:p>
    <w:p w14:paraId="6F39F2CA" w14:textId="77777777" w:rsidR="002B12BD" w:rsidRDefault="002B12BD" w:rsidP="00811191">
      <w:pPr>
        <w:spacing w:line="288" w:lineRule="auto"/>
        <w:rPr>
          <w:rFonts w:ascii="Times New Roman" w:hAnsi="Times New Roman" w:cs="Times New Roman"/>
        </w:rPr>
      </w:pPr>
    </w:p>
    <w:p w14:paraId="64CBB0DF" w14:textId="29DFB67D" w:rsidR="00552B20" w:rsidRDefault="00552B20" w:rsidP="00811191">
      <w:pPr>
        <w:spacing w:line="288" w:lineRule="auto"/>
        <w:rPr>
          <w:rFonts w:ascii="Times New Roman" w:hAnsi="Times New Roman" w:cs="Times New Roman"/>
        </w:rPr>
      </w:pPr>
      <w:r w:rsidRPr="002B12BD">
        <w:rPr>
          <w:rFonts w:ascii="Times New Roman" w:hAnsi="Times New Roman" w:cs="Times New Roman"/>
          <w:b/>
          <w:bCs/>
        </w:rPr>
        <w:t>Abstract</w:t>
      </w:r>
      <w:r>
        <w:rPr>
          <w:rFonts w:ascii="Times New Roman" w:hAnsi="Times New Roman" w:cs="Times New Roman"/>
        </w:rPr>
        <w:t>:</w:t>
      </w:r>
      <w:r w:rsidR="002B12BD">
        <w:rPr>
          <w:rFonts w:ascii="Times New Roman" w:hAnsi="Times New Roman" w:cs="Times New Roman"/>
        </w:rPr>
        <w:t xml:space="preserve"> Li-ion batteries (LIBs) are the key technology for electrification of vehicles. However, their dependence on organic liquid electrolyte makes them prone to thermal run away. While organic liquid electrolyte allows LIBs to have high energy density, it is volatile and flammable. Recent studies have discovered electrolytes for LIBs that are non-flammable. This paper discusses four different non-flammable liquid electrolytes with high thermal stability that can replace more conventional organic electrolytes. </w:t>
      </w:r>
    </w:p>
    <w:p w14:paraId="4C4CDB2A" w14:textId="77777777" w:rsidR="00552B20" w:rsidRDefault="00552B20" w:rsidP="00811191">
      <w:pPr>
        <w:spacing w:line="288" w:lineRule="auto"/>
        <w:rPr>
          <w:rFonts w:ascii="Times New Roman" w:hAnsi="Times New Roman" w:cs="Times New Roman"/>
        </w:rPr>
      </w:pPr>
    </w:p>
    <w:p w14:paraId="5624D6C0" w14:textId="5BED4EE0" w:rsidR="00552B20" w:rsidRDefault="00552B20" w:rsidP="00811191">
      <w:pPr>
        <w:spacing w:line="288" w:lineRule="auto"/>
        <w:rPr>
          <w:rFonts w:ascii="Times New Roman" w:hAnsi="Times New Roman" w:cs="Times New Roman"/>
        </w:rPr>
      </w:pPr>
      <w:r w:rsidRPr="002B12BD">
        <w:rPr>
          <w:rFonts w:ascii="Times New Roman" w:hAnsi="Times New Roman" w:cs="Times New Roman"/>
          <w:b/>
          <w:bCs/>
        </w:rPr>
        <w:t>KEY WORDS</w:t>
      </w:r>
      <w:r>
        <w:rPr>
          <w:rFonts w:ascii="Times New Roman" w:hAnsi="Times New Roman" w:cs="Times New Roman"/>
        </w:rPr>
        <w:t>:</w:t>
      </w:r>
      <w:r w:rsidR="002B12BD">
        <w:rPr>
          <w:rFonts w:ascii="Times New Roman" w:hAnsi="Times New Roman" w:cs="Times New Roman"/>
        </w:rPr>
        <w:t xml:space="preserve"> Li-ion batteries, liquid electrolytes, thermal run away, non-flammable electrolytes</w:t>
      </w:r>
    </w:p>
    <w:p w14:paraId="177C5368" w14:textId="77777777" w:rsidR="00552B20" w:rsidRDefault="00552B20" w:rsidP="00811191">
      <w:pPr>
        <w:spacing w:line="288" w:lineRule="auto"/>
        <w:rPr>
          <w:rFonts w:ascii="Times New Roman" w:hAnsi="Times New Roman" w:cs="Times New Roman"/>
        </w:rPr>
      </w:pPr>
    </w:p>
    <w:p w14:paraId="5239360E" w14:textId="4E42B928" w:rsidR="00552B20" w:rsidRPr="002B12BD" w:rsidRDefault="00552B20" w:rsidP="00811191">
      <w:pPr>
        <w:spacing w:line="288" w:lineRule="auto"/>
        <w:rPr>
          <w:rFonts w:ascii="Times New Roman" w:hAnsi="Times New Roman" w:cs="Times New Roman"/>
        </w:rPr>
      </w:pPr>
      <w:r w:rsidRPr="002B12BD">
        <w:rPr>
          <w:rFonts w:ascii="Times New Roman" w:hAnsi="Times New Roman" w:cs="Times New Roman"/>
        </w:rPr>
        <w:t>INTRODUCTION</w:t>
      </w:r>
    </w:p>
    <w:p w14:paraId="65396B47" w14:textId="1A241FCB" w:rsidR="00552B20" w:rsidRDefault="00552B20" w:rsidP="00811191">
      <w:pPr>
        <w:spacing w:line="288" w:lineRule="auto"/>
        <w:rPr>
          <w:rFonts w:ascii="Times New Roman" w:hAnsi="Times New Roman" w:cs="Times New Roman"/>
          <w:noProof/>
        </w:rPr>
      </w:pPr>
      <w:r>
        <w:rPr>
          <w:rFonts w:ascii="Times New Roman" w:hAnsi="Times New Roman" w:cs="Times New Roman"/>
        </w:rPr>
        <w:t>Li-ion batteries (LIB) have become a key technology for electrification of vehicles due to the combination of high specific energy and power. However, the safety hazards associated to LIB limits its broad adoption in long-range electric vehicles. Conventional LIB utilizes organic liquid electrolytes due to their high ionic conductivities and wide electrochemical window</w:t>
      </w:r>
      <w:r w:rsidR="00FC33D0">
        <w:rPr>
          <w:rFonts w:ascii="Times New Roman" w:hAnsi="Times New Roman" w:cs="Times New Roman"/>
        </w:rPr>
        <w:t xml:space="preserve"> that is not limited by oxygen evolution reaction and hydrogen reduction reaction</w:t>
      </w:r>
      <w:r w:rsidR="008444B7">
        <w:rPr>
          <w:rFonts w:ascii="Times New Roman" w:hAnsi="Times New Roman" w:cs="Times New Roman"/>
        </w:rPr>
        <w:t xml:space="preserve"> (</w:t>
      </w:r>
      <w:r w:rsidR="008444B7" w:rsidRPr="00B21297">
        <w:rPr>
          <w:rFonts w:ascii="Times New Roman" w:hAnsi="Times New Roman" w:cs="Times New Roman"/>
          <w:b/>
          <w:bCs/>
        </w:rPr>
        <w:t>Figure 1</w:t>
      </w:r>
      <w:r w:rsidR="008444B7">
        <w:rPr>
          <w:rFonts w:ascii="Times New Roman" w:hAnsi="Times New Roman" w:cs="Times New Roman"/>
        </w:rPr>
        <w:t>)</w:t>
      </w:r>
      <w:r>
        <w:rPr>
          <w:rFonts w:ascii="Times New Roman" w:hAnsi="Times New Roman" w:cs="Times New Roman"/>
        </w:rPr>
        <w:t xml:space="preserve">. However, non-aqueous carbonate-based organic solvents </w:t>
      </w:r>
      <w:r w:rsidR="00FC33D0">
        <w:rPr>
          <w:rFonts w:ascii="Times New Roman" w:hAnsi="Times New Roman" w:cs="Times New Roman"/>
        </w:rPr>
        <w:t>have low boiling points and high flammability, making LIB prone to thermal runaway</w:t>
      </w:r>
      <w:r w:rsidR="00355F07">
        <w:rPr>
          <w:rFonts w:ascii="Times New Roman" w:hAnsi="Times New Roman" w:cs="Times New Roman"/>
        </w:rPr>
        <w:t xml:space="preserve"> (</w:t>
      </w:r>
      <w:r w:rsidR="00355F07" w:rsidRPr="00B21297">
        <w:rPr>
          <w:rFonts w:ascii="Times New Roman" w:hAnsi="Times New Roman" w:cs="Times New Roman"/>
          <w:b/>
          <w:bCs/>
        </w:rPr>
        <w:t xml:space="preserve">Figure </w:t>
      </w:r>
      <w:r w:rsidR="008444B7" w:rsidRPr="00B21297">
        <w:rPr>
          <w:rFonts w:ascii="Times New Roman" w:hAnsi="Times New Roman" w:cs="Times New Roman"/>
          <w:b/>
          <w:bCs/>
        </w:rPr>
        <w:t>2</w:t>
      </w:r>
      <w:r w:rsidR="00355F07">
        <w:rPr>
          <w:rFonts w:ascii="Times New Roman" w:hAnsi="Times New Roman" w:cs="Times New Roman"/>
        </w:rPr>
        <w:t>)</w:t>
      </w:r>
      <w:r w:rsidR="00FC33D0">
        <w:rPr>
          <w:rFonts w:ascii="Times New Roman" w:hAnsi="Times New Roman" w:cs="Times New Roman"/>
        </w:rPr>
        <w:t xml:space="preserve">. Mechanical abuse such as car crashes or electrical abuse including internal short circuits can generate heat to raise the temperature of the system and initiate fire. </w:t>
      </w:r>
    </w:p>
    <w:p w14:paraId="4EC2FC79" w14:textId="77777777" w:rsidR="00B21297" w:rsidRDefault="008444B7" w:rsidP="00B21297">
      <w:pPr>
        <w:keepNext/>
        <w:spacing w:line="288" w:lineRule="auto"/>
        <w:jc w:val="center"/>
      </w:pPr>
      <w:r w:rsidRPr="008444B7">
        <w:rPr>
          <w:rFonts w:ascii="Times New Roman" w:hAnsi="Times New Roman" w:cs="Times New Roman"/>
          <w:noProof/>
        </w:rPr>
        <w:lastRenderedPageBreak/>
        <w:drawing>
          <wp:inline distT="0" distB="0" distL="0" distR="0" wp14:anchorId="14E7C4DC" wp14:editId="7A533C1F">
            <wp:extent cx="3160800" cy="2298764"/>
            <wp:effectExtent l="0" t="0" r="1905" b="0"/>
            <wp:docPr id="2050" name="Picture 2" descr="Molecules 22 00403 g001 550">
              <a:extLst xmlns:a="http://schemas.openxmlformats.org/drawingml/2006/main">
                <a:ext uri="{FF2B5EF4-FFF2-40B4-BE49-F238E27FC236}">
                  <a16:creationId xmlns:a16="http://schemas.microsoft.com/office/drawing/2014/main" id="{35C12095-1A13-B734-E7F5-5A14FB392A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Molecules 22 00403 g001 550">
                      <a:extLst>
                        <a:ext uri="{FF2B5EF4-FFF2-40B4-BE49-F238E27FC236}">
                          <a16:creationId xmlns:a16="http://schemas.microsoft.com/office/drawing/2014/main" id="{35C12095-1A13-B734-E7F5-5A14FB392A04}"/>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64021" cy="2301107"/>
                    </a:xfrm>
                    <a:prstGeom prst="rect">
                      <a:avLst/>
                    </a:prstGeom>
                    <a:noFill/>
                  </pic:spPr>
                </pic:pic>
              </a:graphicData>
            </a:graphic>
          </wp:inline>
        </w:drawing>
      </w:r>
    </w:p>
    <w:p w14:paraId="455833A9" w14:textId="6B3A7759" w:rsidR="00355F07" w:rsidRPr="00B21297" w:rsidRDefault="00B21297" w:rsidP="00B21297">
      <w:pPr>
        <w:pStyle w:val="Caption"/>
        <w:rPr>
          <w:rFonts w:ascii="Times New Roman" w:hAnsi="Times New Roman" w:cs="Times New Roman"/>
          <w:i w:val="0"/>
          <w:iCs w:val="0"/>
          <w:noProof/>
          <w:color w:val="000000" w:themeColor="text1"/>
          <w:sz w:val="24"/>
          <w:szCs w:val="24"/>
        </w:rPr>
      </w:pPr>
      <w:r w:rsidRPr="00B21297">
        <w:rPr>
          <w:rFonts w:ascii="Times New Roman" w:hAnsi="Times New Roman" w:cs="Times New Roman"/>
          <w:b/>
          <w:bCs/>
          <w:i w:val="0"/>
          <w:iCs w:val="0"/>
          <w:color w:val="000000" w:themeColor="text1"/>
          <w:sz w:val="24"/>
          <w:szCs w:val="24"/>
        </w:rPr>
        <w:t xml:space="preserve">Figure </w:t>
      </w:r>
      <w:r w:rsidRPr="00B21297">
        <w:rPr>
          <w:rFonts w:ascii="Times New Roman" w:hAnsi="Times New Roman" w:cs="Times New Roman"/>
          <w:b/>
          <w:bCs/>
          <w:i w:val="0"/>
          <w:iCs w:val="0"/>
          <w:color w:val="000000" w:themeColor="text1"/>
          <w:sz w:val="24"/>
          <w:szCs w:val="24"/>
        </w:rPr>
        <w:fldChar w:fldCharType="begin"/>
      </w:r>
      <w:r w:rsidRPr="00B21297">
        <w:rPr>
          <w:rFonts w:ascii="Times New Roman" w:hAnsi="Times New Roman" w:cs="Times New Roman"/>
          <w:b/>
          <w:bCs/>
          <w:i w:val="0"/>
          <w:iCs w:val="0"/>
          <w:color w:val="000000" w:themeColor="text1"/>
          <w:sz w:val="24"/>
          <w:szCs w:val="24"/>
        </w:rPr>
        <w:instrText xml:space="preserve"> SEQ Figure \* ARABIC </w:instrText>
      </w:r>
      <w:r w:rsidRPr="00B21297">
        <w:rPr>
          <w:rFonts w:ascii="Times New Roman" w:hAnsi="Times New Roman" w:cs="Times New Roman"/>
          <w:b/>
          <w:bCs/>
          <w:i w:val="0"/>
          <w:iCs w:val="0"/>
          <w:color w:val="000000" w:themeColor="text1"/>
          <w:sz w:val="24"/>
          <w:szCs w:val="24"/>
        </w:rPr>
        <w:fldChar w:fldCharType="separate"/>
      </w:r>
      <w:r w:rsidR="00896FA2">
        <w:rPr>
          <w:rFonts w:ascii="Times New Roman" w:hAnsi="Times New Roman" w:cs="Times New Roman"/>
          <w:b/>
          <w:bCs/>
          <w:i w:val="0"/>
          <w:iCs w:val="0"/>
          <w:noProof/>
          <w:color w:val="000000" w:themeColor="text1"/>
          <w:sz w:val="24"/>
          <w:szCs w:val="24"/>
        </w:rPr>
        <w:t>1</w:t>
      </w:r>
      <w:r w:rsidRPr="00B21297">
        <w:rPr>
          <w:rFonts w:ascii="Times New Roman" w:hAnsi="Times New Roman" w:cs="Times New Roman"/>
          <w:b/>
          <w:bCs/>
          <w:i w:val="0"/>
          <w:iCs w:val="0"/>
          <w:color w:val="000000" w:themeColor="text1"/>
          <w:sz w:val="24"/>
          <w:szCs w:val="24"/>
        </w:rPr>
        <w:fldChar w:fldCharType="end"/>
      </w:r>
      <w:r w:rsidRPr="00B21297">
        <w:rPr>
          <w:rFonts w:ascii="Times New Roman" w:hAnsi="Times New Roman" w:cs="Times New Roman"/>
          <w:i w:val="0"/>
          <w:iCs w:val="0"/>
          <w:color w:val="000000" w:themeColor="text1"/>
          <w:sz w:val="24"/>
          <w:szCs w:val="24"/>
        </w:rPr>
        <w:t>. Molecular structures of conventional organic solvents for LIB electrolytes</w:t>
      </w:r>
    </w:p>
    <w:p w14:paraId="46037BFC" w14:textId="77777777" w:rsidR="0072276D" w:rsidRDefault="00355F07" w:rsidP="002B12BD">
      <w:pPr>
        <w:keepNext/>
        <w:spacing w:line="288" w:lineRule="auto"/>
        <w:jc w:val="center"/>
      </w:pPr>
      <w:r w:rsidRPr="00355F07">
        <w:rPr>
          <w:rFonts w:ascii="Times New Roman" w:hAnsi="Times New Roman" w:cs="Times New Roman"/>
          <w:noProof/>
        </w:rPr>
        <w:drawing>
          <wp:inline distT="0" distB="0" distL="0" distR="0" wp14:anchorId="6A5F1EF7" wp14:editId="3FC7F5F1">
            <wp:extent cx="4816800" cy="2665708"/>
            <wp:effectExtent l="0" t="0" r="0" b="1905"/>
            <wp:docPr id="17" name="Picture 16" descr="A diagram of a disaster&#10;&#10;Description automatically generated">
              <a:extLst xmlns:a="http://schemas.openxmlformats.org/drawingml/2006/main">
                <a:ext uri="{FF2B5EF4-FFF2-40B4-BE49-F238E27FC236}">
                  <a16:creationId xmlns:a16="http://schemas.microsoft.com/office/drawing/2014/main" id="{55AF3E0D-D3C2-32F9-7432-EBB53EDC11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diagram of a disaster&#10;&#10;Description automatically generated">
                      <a:extLst>
                        <a:ext uri="{FF2B5EF4-FFF2-40B4-BE49-F238E27FC236}">
                          <a16:creationId xmlns:a16="http://schemas.microsoft.com/office/drawing/2014/main" id="{55AF3E0D-D3C2-32F9-7432-EBB53EDC1193}"/>
                        </a:ext>
                      </a:extLst>
                    </pic:cNvPr>
                    <pic:cNvPicPr>
                      <a:picLocks noChangeAspect="1"/>
                    </pic:cNvPicPr>
                  </pic:nvPicPr>
                  <pic:blipFill>
                    <a:blip r:embed="rId7"/>
                    <a:stretch>
                      <a:fillRect/>
                    </a:stretch>
                  </pic:blipFill>
                  <pic:spPr>
                    <a:xfrm>
                      <a:off x="0" y="0"/>
                      <a:ext cx="4827632" cy="2671702"/>
                    </a:xfrm>
                    <a:prstGeom prst="rect">
                      <a:avLst/>
                    </a:prstGeom>
                  </pic:spPr>
                </pic:pic>
              </a:graphicData>
            </a:graphic>
          </wp:inline>
        </w:drawing>
      </w:r>
    </w:p>
    <w:p w14:paraId="0EB846B2" w14:textId="15DD5E63" w:rsidR="0072276D" w:rsidRPr="0072276D" w:rsidRDefault="0072276D" w:rsidP="0072276D">
      <w:pPr>
        <w:pStyle w:val="Caption"/>
        <w:rPr>
          <w:rFonts w:ascii="Times New Roman" w:hAnsi="Times New Roman" w:cs="Times New Roman"/>
          <w:i w:val="0"/>
          <w:iCs w:val="0"/>
          <w:color w:val="000000" w:themeColor="text1"/>
          <w:sz w:val="24"/>
          <w:szCs w:val="24"/>
        </w:rPr>
      </w:pPr>
      <w:r w:rsidRPr="0072276D">
        <w:rPr>
          <w:rFonts w:ascii="Times New Roman" w:hAnsi="Times New Roman" w:cs="Times New Roman"/>
          <w:b/>
          <w:bCs/>
          <w:i w:val="0"/>
          <w:iCs w:val="0"/>
          <w:color w:val="000000" w:themeColor="text1"/>
          <w:sz w:val="24"/>
          <w:szCs w:val="24"/>
        </w:rPr>
        <w:t xml:space="preserve">Figure </w:t>
      </w:r>
      <w:r w:rsidRPr="0072276D">
        <w:rPr>
          <w:rFonts w:ascii="Times New Roman" w:hAnsi="Times New Roman" w:cs="Times New Roman"/>
          <w:b/>
          <w:bCs/>
          <w:i w:val="0"/>
          <w:iCs w:val="0"/>
          <w:color w:val="000000" w:themeColor="text1"/>
          <w:sz w:val="24"/>
          <w:szCs w:val="24"/>
        </w:rPr>
        <w:fldChar w:fldCharType="begin"/>
      </w:r>
      <w:r w:rsidRPr="0072276D">
        <w:rPr>
          <w:rFonts w:ascii="Times New Roman" w:hAnsi="Times New Roman" w:cs="Times New Roman"/>
          <w:b/>
          <w:bCs/>
          <w:i w:val="0"/>
          <w:iCs w:val="0"/>
          <w:color w:val="000000" w:themeColor="text1"/>
          <w:sz w:val="24"/>
          <w:szCs w:val="24"/>
        </w:rPr>
        <w:instrText xml:space="preserve"> SEQ Figure \* ARABIC </w:instrText>
      </w:r>
      <w:r w:rsidRPr="0072276D">
        <w:rPr>
          <w:rFonts w:ascii="Times New Roman" w:hAnsi="Times New Roman" w:cs="Times New Roman"/>
          <w:b/>
          <w:bCs/>
          <w:i w:val="0"/>
          <w:iCs w:val="0"/>
          <w:color w:val="000000" w:themeColor="text1"/>
          <w:sz w:val="24"/>
          <w:szCs w:val="24"/>
        </w:rPr>
        <w:fldChar w:fldCharType="separate"/>
      </w:r>
      <w:r w:rsidR="00896FA2">
        <w:rPr>
          <w:rFonts w:ascii="Times New Roman" w:hAnsi="Times New Roman" w:cs="Times New Roman"/>
          <w:b/>
          <w:bCs/>
          <w:i w:val="0"/>
          <w:iCs w:val="0"/>
          <w:noProof/>
          <w:color w:val="000000" w:themeColor="text1"/>
          <w:sz w:val="24"/>
          <w:szCs w:val="24"/>
        </w:rPr>
        <w:t>2</w:t>
      </w:r>
      <w:r w:rsidRPr="0072276D">
        <w:rPr>
          <w:rFonts w:ascii="Times New Roman" w:hAnsi="Times New Roman" w:cs="Times New Roman"/>
          <w:b/>
          <w:bCs/>
          <w:i w:val="0"/>
          <w:iCs w:val="0"/>
          <w:color w:val="000000" w:themeColor="text1"/>
          <w:sz w:val="24"/>
          <w:szCs w:val="24"/>
        </w:rPr>
        <w:fldChar w:fldCharType="end"/>
      </w:r>
      <w:r w:rsidRPr="0072276D">
        <w:rPr>
          <w:rFonts w:ascii="Times New Roman" w:hAnsi="Times New Roman" w:cs="Times New Roman"/>
          <w:b/>
          <w:bCs/>
          <w:i w:val="0"/>
          <w:iCs w:val="0"/>
          <w:color w:val="000000" w:themeColor="text1"/>
          <w:sz w:val="24"/>
          <w:szCs w:val="24"/>
        </w:rPr>
        <w:t>.</w:t>
      </w:r>
      <w:r w:rsidRPr="0072276D">
        <w:rPr>
          <w:rFonts w:ascii="Times New Roman" w:hAnsi="Times New Roman" w:cs="Times New Roman"/>
          <w:i w:val="0"/>
          <w:iCs w:val="0"/>
          <w:color w:val="000000" w:themeColor="text1"/>
          <w:sz w:val="24"/>
          <w:szCs w:val="24"/>
        </w:rPr>
        <w:t xml:space="preserve"> Abuse conditions of Li-ion batteries and the resulting thermal runaway</w:t>
      </w:r>
    </w:p>
    <w:p w14:paraId="1136A1F2" w14:textId="11F02D38" w:rsidR="00355F07" w:rsidRDefault="00355F07" w:rsidP="00811191">
      <w:pPr>
        <w:spacing w:line="288" w:lineRule="auto"/>
        <w:rPr>
          <w:rFonts w:ascii="Times New Roman" w:hAnsi="Times New Roman" w:cs="Times New Roman"/>
        </w:rPr>
      </w:pPr>
      <w:r>
        <w:rPr>
          <w:rFonts w:ascii="Times New Roman" w:hAnsi="Times New Roman" w:cs="Times New Roman"/>
        </w:rPr>
        <w:t xml:space="preserve">Alternatively, people have studied different ways to design non-flammable liquid electrolytes. This report will introduce four different liquid electrolyte systems that are non-flammable. </w:t>
      </w:r>
    </w:p>
    <w:p w14:paraId="3F84A37A" w14:textId="77777777" w:rsidR="00355F07" w:rsidRDefault="00355F07" w:rsidP="00811191">
      <w:pPr>
        <w:spacing w:line="288" w:lineRule="auto"/>
        <w:rPr>
          <w:rFonts w:ascii="Times New Roman" w:hAnsi="Times New Roman" w:cs="Times New Roman"/>
        </w:rPr>
      </w:pPr>
    </w:p>
    <w:p w14:paraId="782346F9" w14:textId="77777777" w:rsidR="002B12BD" w:rsidRDefault="008444B7" w:rsidP="00811191">
      <w:pPr>
        <w:spacing w:line="288" w:lineRule="auto"/>
        <w:rPr>
          <w:rFonts w:ascii="Times New Roman" w:hAnsi="Times New Roman" w:cs="Times New Roman"/>
        </w:rPr>
      </w:pPr>
      <w:r>
        <w:rPr>
          <w:rFonts w:ascii="Times New Roman" w:hAnsi="Times New Roman" w:cs="Times New Roman"/>
        </w:rPr>
        <w:t>FLAME RETARDANTS</w:t>
      </w:r>
    </w:p>
    <w:p w14:paraId="4DCFE839" w14:textId="2E1FA7C8" w:rsidR="00F65260" w:rsidRDefault="008444B7" w:rsidP="00811191">
      <w:pPr>
        <w:spacing w:line="288" w:lineRule="auto"/>
        <w:rPr>
          <w:rFonts w:ascii="Times New Roman" w:hAnsi="Times New Roman" w:cs="Times New Roman"/>
        </w:rPr>
      </w:pPr>
      <w:r>
        <w:rPr>
          <w:rFonts w:ascii="Times New Roman" w:hAnsi="Times New Roman" w:cs="Times New Roman"/>
        </w:rPr>
        <w:t xml:space="preserve">Phosphorous containing organic molecules are widely adopted flame retardants. They are co-solvents that can be added to the conventional liquid electrolyte system. </w:t>
      </w:r>
      <w:r w:rsidR="00FB7A5D">
        <w:rPr>
          <w:rFonts w:ascii="Times New Roman" w:hAnsi="Times New Roman" w:cs="Times New Roman"/>
        </w:rPr>
        <w:t>In 2018, Shi et al. reported trimethyl phosphate (TMP) as an efficient flame retardant</w:t>
      </w:r>
      <w:r w:rsidR="0049469D">
        <w:rPr>
          <w:rFonts w:ascii="Times New Roman" w:hAnsi="Times New Roman" w:cs="Times New Roman"/>
        </w:rPr>
        <w:t xml:space="preserve"> with low toxicity and volatility</w:t>
      </w:r>
      <w:r w:rsidR="00FB7A5D">
        <w:rPr>
          <w:rFonts w:ascii="Times New Roman" w:hAnsi="Times New Roman" w:cs="Times New Roman"/>
        </w:rPr>
        <w:t>. When it was added to an electrolyte composed of 5 M lithium bis(</w:t>
      </w:r>
      <w:proofErr w:type="spellStart"/>
      <w:r w:rsidR="00FB7A5D">
        <w:rPr>
          <w:rFonts w:ascii="Times New Roman" w:hAnsi="Times New Roman" w:cs="Times New Roman"/>
        </w:rPr>
        <w:t>fluorosulfonyl</w:t>
      </w:r>
      <w:proofErr w:type="spellEnd"/>
      <w:r w:rsidR="00FB7A5D">
        <w:rPr>
          <w:rFonts w:ascii="Times New Roman" w:hAnsi="Times New Roman" w:cs="Times New Roman"/>
        </w:rPr>
        <w:t>)imide (</w:t>
      </w:r>
      <w:proofErr w:type="spellStart"/>
      <w:r w:rsidR="00FB7A5D">
        <w:rPr>
          <w:rFonts w:ascii="Times New Roman" w:hAnsi="Times New Roman" w:cs="Times New Roman"/>
        </w:rPr>
        <w:t>LiFSI</w:t>
      </w:r>
      <w:proofErr w:type="spellEnd"/>
      <w:r w:rsidR="00FB7A5D">
        <w:rPr>
          <w:rFonts w:ascii="Times New Roman" w:hAnsi="Times New Roman" w:cs="Times New Roman"/>
        </w:rPr>
        <w:t xml:space="preserve">), it demonstrated significantly improved </w:t>
      </w:r>
      <w:r w:rsidR="0049469D">
        <w:rPr>
          <w:rFonts w:ascii="Times New Roman" w:hAnsi="Times New Roman" w:cs="Times New Roman"/>
        </w:rPr>
        <w:t xml:space="preserve">thermal </w:t>
      </w:r>
      <w:r w:rsidR="00FB7A5D">
        <w:rPr>
          <w:rFonts w:ascii="Times New Roman" w:hAnsi="Times New Roman" w:cs="Times New Roman"/>
        </w:rPr>
        <w:t>stability compared to a conventional electrolyte of 1 M lithium hexafluorophosphate (LiPF</w:t>
      </w:r>
      <w:r w:rsidR="00FB7A5D" w:rsidRPr="00FB7A5D">
        <w:rPr>
          <w:rFonts w:ascii="Times New Roman" w:hAnsi="Times New Roman" w:cs="Times New Roman"/>
          <w:vertAlign w:val="subscript"/>
        </w:rPr>
        <w:t>6</w:t>
      </w:r>
      <w:r w:rsidR="00FB7A5D">
        <w:rPr>
          <w:rFonts w:ascii="Times New Roman" w:hAnsi="Times New Roman" w:cs="Times New Roman"/>
        </w:rPr>
        <w:t>) in ethylene carbonate (EC)/diethyl carbonate (DEC) (</w:t>
      </w:r>
      <w:r w:rsidR="00FB7A5D" w:rsidRPr="00B21297">
        <w:rPr>
          <w:rFonts w:ascii="Times New Roman" w:hAnsi="Times New Roman" w:cs="Times New Roman"/>
          <w:b/>
          <w:bCs/>
        </w:rPr>
        <w:t>Figure 3</w:t>
      </w:r>
      <w:r w:rsidR="00FB7A5D">
        <w:rPr>
          <w:rFonts w:ascii="Times New Roman" w:hAnsi="Times New Roman" w:cs="Times New Roman"/>
        </w:rPr>
        <w:t xml:space="preserve">). However, phosphate-based </w:t>
      </w:r>
      <w:r w:rsidR="00FB7A5D">
        <w:rPr>
          <w:rFonts w:ascii="Times New Roman" w:hAnsi="Times New Roman" w:cs="Times New Roman"/>
        </w:rPr>
        <w:lastRenderedPageBreak/>
        <w:t xml:space="preserve">electrolytes </w:t>
      </w:r>
      <w:r w:rsidR="0049469D">
        <w:rPr>
          <w:rFonts w:ascii="Times New Roman" w:hAnsi="Times New Roman" w:cs="Times New Roman"/>
        </w:rPr>
        <w:t>do</w:t>
      </w:r>
      <w:r w:rsidR="00FB7A5D">
        <w:rPr>
          <w:rFonts w:ascii="Times New Roman" w:hAnsi="Times New Roman" w:cs="Times New Roman"/>
        </w:rPr>
        <w:t xml:space="preserve"> not completely remove the flammability from the system</w:t>
      </w:r>
      <w:r w:rsidR="0049469D">
        <w:rPr>
          <w:rFonts w:ascii="Times New Roman" w:hAnsi="Times New Roman" w:cs="Times New Roman"/>
        </w:rPr>
        <w:t xml:space="preserve"> because they are also organic molecules</w:t>
      </w:r>
      <w:r w:rsidR="00FB7A5D">
        <w:rPr>
          <w:rFonts w:ascii="Times New Roman" w:hAnsi="Times New Roman" w:cs="Times New Roman"/>
        </w:rPr>
        <w:t>. In addition, they have poor oxidative stability which makes them incompatible with graphite electrode. Graphite electrode is</w:t>
      </w:r>
      <w:r w:rsidR="0049469D">
        <w:rPr>
          <w:rFonts w:ascii="Times New Roman" w:hAnsi="Times New Roman" w:cs="Times New Roman"/>
        </w:rPr>
        <w:t xml:space="preserve"> the anode that is adopted in most commercial LIBs due to its high capacity and thermodynamic stability. Therefore, incompatibility with graphite electrode is </w:t>
      </w:r>
      <w:proofErr w:type="gramStart"/>
      <w:r w:rsidR="0049469D">
        <w:rPr>
          <w:rFonts w:ascii="Times New Roman" w:hAnsi="Times New Roman" w:cs="Times New Roman"/>
        </w:rPr>
        <w:t>a critical</w:t>
      </w:r>
      <w:proofErr w:type="gramEnd"/>
      <w:r w:rsidR="0049469D">
        <w:rPr>
          <w:rFonts w:ascii="Times New Roman" w:hAnsi="Times New Roman" w:cs="Times New Roman"/>
        </w:rPr>
        <w:t xml:space="preserve"> </w:t>
      </w:r>
    </w:p>
    <w:p w14:paraId="3059654A" w14:textId="5DDC4776" w:rsidR="00B21297" w:rsidRDefault="002B12BD" w:rsidP="00B21297">
      <w:pPr>
        <w:spacing w:line="288" w:lineRule="auto"/>
        <w:rPr>
          <w:rFonts w:ascii="Times New Roman" w:hAnsi="Times New Roman" w:cs="Times New Roman"/>
        </w:rPr>
      </w:pPr>
      <w:r w:rsidRPr="00FB7A5D">
        <w:rPr>
          <w:rFonts w:ascii="Times New Roman" w:hAnsi="Times New Roman" w:cs="Times New Roman"/>
          <w:noProof/>
        </w:rPr>
        <w:drawing>
          <wp:anchor distT="0" distB="0" distL="114300" distR="114300" simplePos="0" relativeHeight="251658240" behindDoc="0" locked="0" layoutInCell="1" allowOverlap="1" wp14:anchorId="356F7503" wp14:editId="2B61C886">
            <wp:simplePos x="0" y="0"/>
            <wp:positionH relativeFrom="column">
              <wp:posOffset>1211580</wp:posOffset>
            </wp:positionH>
            <wp:positionV relativeFrom="paragraph">
              <wp:posOffset>222610</wp:posOffset>
            </wp:positionV>
            <wp:extent cx="3417570" cy="1732915"/>
            <wp:effectExtent l="0" t="0" r="0" b="0"/>
            <wp:wrapTopAndBottom/>
            <wp:docPr id="1028" name="Picture 4" descr="Batteries 05 00019 g007">
              <a:extLst xmlns:a="http://schemas.openxmlformats.org/drawingml/2006/main">
                <a:ext uri="{FF2B5EF4-FFF2-40B4-BE49-F238E27FC236}">
                  <a16:creationId xmlns:a16="http://schemas.microsoft.com/office/drawing/2014/main" id="{C076F746-69CE-4E7A-0FFD-7FC47337E6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Batteries 05 00019 g007">
                      <a:extLst>
                        <a:ext uri="{FF2B5EF4-FFF2-40B4-BE49-F238E27FC236}">
                          <a16:creationId xmlns:a16="http://schemas.microsoft.com/office/drawing/2014/main" id="{C076F746-69CE-4E7A-0FFD-7FC47337E6E7}"/>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7570" cy="173291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20135F74" wp14:editId="043E7D4B">
                <wp:simplePos x="0" y="0"/>
                <wp:positionH relativeFrom="column">
                  <wp:posOffset>463560</wp:posOffset>
                </wp:positionH>
                <wp:positionV relativeFrom="paragraph">
                  <wp:posOffset>2049380</wp:posOffset>
                </wp:positionV>
                <wp:extent cx="5255260" cy="635"/>
                <wp:effectExtent l="0" t="0" r="2540" b="2540"/>
                <wp:wrapTopAndBottom/>
                <wp:docPr id="364867588" name="Text Box 1"/>
                <wp:cNvGraphicFramePr/>
                <a:graphic xmlns:a="http://schemas.openxmlformats.org/drawingml/2006/main">
                  <a:graphicData uri="http://schemas.microsoft.com/office/word/2010/wordprocessingShape">
                    <wps:wsp>
                      <wps:cNvSpPr txBox="1"/>
                      <wps:spPr>
                        <a:xfrm>
                          <a:off x="0" y="0"/>
                          <a:ext cx="5255260" cy="635"/>
                        </a:xfrm>
                        <a:prstGeom prst="rect">
                          <a:avLst/>
                        </a:prstGeom>
                        <a:solidFill>
                          <a:prstClr val="white"/>
                        </a:solidFill>
                        <a:ln>
                          <a:noFill/>
                        </a:ln>
                      </wps:spPr>
                      <wps:txbx>
                        <w:txbxContent>
                          <w:p w14:paraId="33B781AB" w14:textId="4C5B7281" w:rsidR="0072276D" w:rsidRPr="0072276D" w:rsidRDefault="0072276D" w:rsidP="0072276D">
                            <w:pPr>
                              <w:pStyle w:val="Caption"/>
                              <w:rPr>
                                <w:rFonts w:ascii="Times New Roman" w:hAnsi="Times New Roman" w:cs="Times New Roman"/>
                                <w:i w:val="0"/>
                                <w:iCs w:val="0"/>
                                <w:noProof/>
                                <w:color w:val="000000" w:themeColor="text1"/>
                                <w:sz w:val="24"/>
                                <w:szCs w:val="24"/>
                              </w:rPr>
                            </w:pPr>
                            <w:r w:rsidRPr="0072276D">
                              <w:rPr>
                                <w:rFonts w:ascii="Times New Roman" w:hAnsi="Times New Roman" w:cs="Times New Roman"/>
                                <w:b/>
                                <w:bCs/>
                                <w:i w:val="0"/>
                                <w:iCs w:val="0"/>
                                <w:color w:val="000000" w:themeColor="text1"/>
                                <w:sz w:val="24"/>
                                <w:szCs w:val="24"/>
                              </w:rPr>
                              <w:t xml:space="preserve">Figure </w:t>
                            </w:r>
                            <w:r w:rsidRPr="0072276D">
                              <w:rPr>
                                <w:rFonts w:ascii="Times New Roman" w:hAnsi="Times New Roman" w:cs="Times New Roman"/>
                                <w:b/>
                                <w:bCs/>
                                <w:i w:val="0"/>
                                <w:iCs w:val="0"/>
                                <w:color w:val="000000" w:themeColor="text1"/>
                                <w:sz w:val="24"/>
                                <w:szCs w:val="24"/>
                              </w:rPr>
                              <w:fldChar w:fldCharType="begin"/>
                            </w:r>
                            <w:r w:rsidRPr="0072276D">
                              <w:rPr>
                                <w:rFonts w:ascii="Times New Roman" w:hAnsi="Times New Roman" w:cs="Times New Roman"/>
                                <w:b/>
                                <w:bCs/>
                                <w:i w:val="0"/>
                                <w:iCs w:val="0"/>
                                <w:color w:val="000000" w:themeColor="text1"/>
                                <w:sz w:val="24"/>
                                <w:szCs w:val="24"/>
                              </w:rPr>
                              <w:instrText xml:space="preserve"> SEQ Figure \* ARABIC </w:instrText>
                            </w:r>
                            <w:r w:rsidRPr="0072276D">
                              <w:rPr>
                                <w:rFonts w:ascii="Times New Roman" w:hAnsi="Times New Roman" w:cs="Times New Roman"/>
                                <w:b/>
                                <w:bCs/>
                                <w:i w:val="0"/>
                                <w:iCs w:val="0"/>
                                <w:color w:val="000000" w:themeColor="text1"/>
                                <w:sz w:val="24"/>
                                <w:szCs w:val="24"/>
                              </w:rPr>
                              <w:fldChar w:fldCharType="separate"/>
                            </w:r>
                            <w:r w:rsidR="00896FA2">
                              <w:rPr>
                                <w:rFonts w:ascii="Times New Roman" w:hAnsi="Times New Roman" w:cs="Times New Roman"/>
                                <w:b/>
                                <w:bCs/>
                                <w:i w:val="0"/>
                                <w:iCs w:val="0"/>
                                <w:noProof/>
                                <w:color w:val="000000" w:themeColor="text1"/>
                                <w:sz w:val="24"/>
                                <w:szCs w:val="24"/>
                              </w:rPr>
                              <w:t>3</w:t>
                            </w:r>
                            <w:r w:rsidRPr="0072276D">
                              <w:rPr>
                                <w:rFonts w:ascii="Times New Roman" w:hAnsi="Times New Roman" w:cs="Times New Roman"/>
                                <w:b/>
                                <w:bCs/>
                                <w:i w:val="0"/>
                                <w:iCs w:val="0"/>
                                <w:color w:val="000000" w:themeColor="text1"/>
                                <w:sz w:val="24"/>
                                <w:szCs w:val="24"/>
                              </w:rPr>
                              <w:fldChar w:fldCharType="end"/>
                            </w:r>
                            <w:r w:rsidRPr="0072276D">
                              <w:rPr>
                                <w:rFonts w:ascii="Times New Roman" w:hAnsi="Times New Roman" w:cs="Times New Roman"/>
                                <w:i w:val="0"/>
                                <w:iCs w:val="0"/>
                                <w:color w:val="000000" w:themeColor="text1"/>
                                <w:sz w:val="24"/>
                                <w:szCs w:val="24"/>
                              </w:rPr>
                              <w:t xml:space="preserve">. Flammability test of 1M LiPF6/EC-DEC and 5M </w:t>
                            </w:r>
                            <w:proofErr w:type="spellStart"/>
                            <w:r w:rsidRPr="0072276D">
                              <w:rPr>
                                <w:rFonts w:ascii="Times New Roman" w:hAnsi="Times New Roman" w:cs="Times New Roman"/>
                                <w:i w:val="0"/>
                                <w:iCs w:val="0"/>
                                <w:color w:val="000000" w:themeColor="text1"/>
                                <w:sz w:val="24"/>
                                <w:szCs w:val="24"/>
                              </w:rPr>
                              <w:t>LiFSI</w:t>
                            </w:r>
                            <w:proofErr w:type="spellEnd"/>
                            <w:r w:rsidRPr="0072276D">
                              <w:rPr>
                                <w:rFonts w:ascii="Times New Roman" w:hAnsi="Times New Roman" w:cs="Times New Roman"/>
                                <w:i w:val="0"/>
                                <w:iCs w:val="0"/>
                                <w:color w:val="000000" w:themeColor="text1"/>
                                <w:sz w:val="24"/>
                                <w:szCs w:val="24"/>
                              </w:rPr>
                              <w:t>/TMP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0135F74" id="_x0000_t202" coordsize="21600,21600" o:spt="202" path="m,l,21600r21600,l21600,xe">
                <v:stroke joinstyle="miter"/>
                <v:path gradientshapeok="t" o:connecttype="rect"/>
              </v:shapetype>
              <v:shape id="Text Box 1" o:spid="_x0000_s1026" type="#_x0000_t202" style="position:absolute;margin-left:36.5pt;margin-top:161.35pt;width:413.8pt;height:.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ApsFFAIAADgEAAAOAAAAZHJzL2Uyb0RvYy54bWysU8GK2zAQvRf6D0L3xklKQjFxljRLSiHs&#13;&#10;LuyWPSuyFBtkjTpSYqdf35FsJ+22p9KLPNaM3mjee1rddY1hZ4W+Blvw2WTKmbISytoeC/7tZffh&#13;&#10;E2c+CFsKA1YV/KI8v1u/f7dqXa7mUIEpFTICsT5vXcGrEFyeZV5WqhF+Ak5ZSmrARgT6xWNWomgJ&#13;&#10;vTHZfDpdZi1g6RCk8p527/skXyd8rZUMj1p7FZgpON0tpBXTeohrtl6J/IjCVbUcriH+4RaNqC01&#13;&#10;vULdiyDYCes/oJpaInjQYSKhyUDrWqo0A00zm76Z5rkSTqVZiBzvrjT5/wcrH87P7glZ6D5DRwJG&#13;&#10;Qlrnc0+bcZ5OYxO/dFNGeaLwcqVNdYFJ2lzMF4v5klKScsuPi4iR3Y469OGLgobFoOBImiSqxHnv&#13;&#10;Q186lsROHkxd7mpj4k9MbA2ysyD92qoOagD/rcrYWGshnuoB4052myNGoTt0w3AHKC80M0JvB+/k&#13;&#10;rqZGe+HDk0DSn2YhT4dHWrSBtuAwRJxVgD/+th/rSRbKctaSnwruv58EKs7MV0uCRfONAY7BYQzs&#13;&#10;qdkCjTij1+JkCukABjOGGqF5JatvYhdKCSupV8HDGG5D72p6KlJtNqmILOZE2NtnJyP0SOhL9yrQ&#13;&#10;DXIEUvEBRqeJ/I0qfW3SxW1OgShOkkVCexYHnsmeSfThKUX///qfqm4Pfv0TAAD//wMAUEsDBBQA&#13;&#10;BgAIAAAAIQAC2kqi5AAAAA8BAAAPAAAAZHJzL2Rvd25yZXYueG1sTI8/T8MwEMV3JL6DdUgsiDok&#13;&#10;VVvSOFVVYIClIu3SzY3dOBCfI9tpw7fnYIHlpPv33vsVq9F27Kx9aB0KeJgkwDTWTrXYCNjvXu4X&#13;&#10;wEKUqGTnUAv40gFW5fVVIXPlLviuz1VsGIlgyKUAE2Ofcx5qo60ME9drpN3JeSsjtb7hyssLiduO&#13;&#10;p0ky41a2SA5G9npjdP1ZDVbAdnrYmrvh9Py2nmb+dT9sZh9NJcTtzfi0pLJeAot6jH8f8MNA+aGk&#13;&#10;YEc3oAqsEzDPiCcKyNJ0DowOHskT2PF3sgBeFvw/R/kNAAD//wMAUEsBAi0AFAAGAAgAAAAhALaD&#13;&#10;OJL+AAAA4QEAABMAAAAAAAAAAAAAAAAAAAAAAFtDb250ZW50X1R5cGVzXS54bWxQSwECLQAUAAYA&#13;&#10;CAAAACEAOP0h/9YAAACUAQAACwAAAAAAAAAAAAAAAAAvAQAAX3JlbHMvLnJlbHNQSwECLQAUAAYA&#13;&#10;CAAAACEAiQKbBRQCAAA4BAAADgAAAAAAAAAAAAAAAAAuAgAAZHJzL2Uyb0RvYy54bWxQSwECLQAU&#13;&#10;AAYACAAAACEAAtpKouQAAAAPAQAADwAAAAAAAAAAAAAAAABuBAAAZHJzL2Rvd25yZXYueG1sUEsF&#13;&#10;BgAAAAAEAAQA8wAAAH8FAAAAAA==&#13;&#10;" stroked="f">
                <v:textbox style="mso-fit-shape-to-text:t" inset="0,0,0,0">
                  <w:txbxContent>
                    <w:p w14:paraId="33B781AB" w14:textId="4C5B7281" w:rsidR="0072276D" w:rsidRPr="0072276D" w:rsidRDefault="0072276D" w:rsidP="0072276D">
                      <w:pPr>
                        <w:pStyle w:val="Caption"/>
                        <w:rPr>
                          <w:rFonts w:ascii="Times New Roman" w:hAnsi="Times New Roman" w:cs="Times New Roman"/>
                          <w:i w:val="0"/>
                          <w:iCs w:val="0"/>
                          <w:noProof/>
                          <w:color w:val="000000" w:themeColor="text1"/>
                          <w:sz w:val="24"/>
                          <w:szCs w:val="24"/>
                        </w:rPr>
                      </w:pPr>
                      <w:r w:rsidRPr="0072276D">
                        <w:rPr>
                          <w:rFonts w:ascii="Times New Roman" w:hAnsi="Times New Roman" w:cs="Times New Roman"/>
                          <w:b/>
                          <w:bCs/>
                          <w:i w:val="0"/>
                          <w:iCs w:val="0"/>
                          <w:color w:val="000000" w:themeColor="text1"/>
                          <w:sz w:val="24"/>
                          <w:szCs w:val="24"/>
                        </w:rPr>
                        <w:t xml:space="preserve">Figure </w:t>
                      </w:r>
                      <w:r w:rsidRPr="0072276D">
                        <w:rPr>
                          <w:rFonts w:ascii="Times New Roman" w:hAnsi="Times New Roman" w:cs="Times New Roman"/>
                          <w:b/>
                          <w:bCs/>
                          <w:i w:val="0"/>
                          <w:iCs w:val="0"/>
                          <w:color w:val="000000" w:themeColor="text1"/>
                          <w:sz w:val="24"/>
                          <w:szCs w:val="24"/>
                        </w:rPr>
                        <w:fldChar w:fldCharType="begin"/>
                      </w:r>
                      <w:r w:rsidRPr="0072276D">
                        <w:rPr>
                          <w:rFonts w:ascii="Times New Roman" w:hAnsi="Times New Roman" w:cs="Times New Roman"/>
                          <w:b/>
                          <w:bCs/>
                          <w:i w:val="0"/>
                          <w:iCs w:val="0"/>
                          <w:color w:val="000000" w:themeColor="text1"/>
                          <w:sz w:val="24"/>
                          <w:szCs w:val="24"/>
                        </w:rPr>
                        <w:instrText xml:space="preserve"> SEQ Figure \* ARABIC </w:instrText>
                      </w:r>
                      <w:r w:rsidRPr="0072276D">
                        <w:rPr>
                          <w:rFonts w:ascii="Times New Roman" w:hAnsi="Times New Roman" w:cs="Times New Roman"/>
                          <w:b/>
                          <w:bCs/>
                          <w:i w:val="0"/>
                          <w:iCs w:val="0"/>
                          <w:color w:val="000000" w:themeColor="text1"/>
                          <w:sz w:val="24"/>
                          <w:szCs w:val="24"/>
                        </w:rPr>
                        <w:fldChar w:fldCharType="separate"/>
                      </w:r>
                      <w:r w:rsidR="00896FA2">
                        <w:rPr>
                          <w:rFonts w:ascii="Times New Roman" w:hAnsi="Times New Roman" w:cs="Times New Roman"/>
                          <w:b/>
                          <w:bCs/>
                          <w:i w:val="0"/>
                          <w:iCs w:val="0"/>
                          <w:noProof/>
                          <w:color w:val="000000" w:themeColor="text1"/>
                          <w:sz w:val="24"/>
                          <w:szCs w:val="24"/>
                        </w:rPr>
                        <w:t>3</w:t>
                      </w:r>
                      <w:r w:rsidRPr="0072276D">
                        <w:rPr>
                          <w:rFonts w:ascii="Times New Roman" w:hAnsi="Times New Roman" w:cs="Times New Roman"/>
                          <w:b/>
                          <w:bCs/>
                          <w:i w:val="0"/>
                          <w:iCs w:val="0"/>
                          <w:color w:val="000000" w:themeColor="text1"/>
                          <w:sz w:val="24"/>
                          <w:szCs w:val="24"/>
                        </w:rPr>
                        <w:fldChar w:fldCharType="end"/>
                      </w:r>
                      <w:r w:rsidRPr="0072276D">
                        <w:rPr>
                          <w:rFonts w:ascii="Times New Roman" w:hAnsi="Times New Roman" w:cs="Times New Roman"/>
                          <w:i w:val="0"/>
                          <w:iCs w:val="0"/>
                          <w:color w:val="000000" w:themeColor="text1"/>
                          <w:sz w:val="24"/>
                          <w:szCs w:val="24"/>
                        </w:rPr>
                        <w:t xml:space="preserve">. Flammability test of 1M LiPF6/EC-DEC and 5M </w:t>
                      </w:r>
                      <w:proofErr w:type="spellStart"/>
                      <w:r w:rsidRPr="0072276D">
                        <w:rPr>
                          <w:rFonts w:ascii="Times New Roman" w:hAnsi="Times New Roman" w:cs="Times New Roman"/>
                          <w:i w:val="0"/>
                          <w:iCs w:val="0"/>
                          <w:color w:val="000000" w:themeColor="text1"/>
                          <w:sz w:val="24"/>
                          <w:szCs w:val="24"/>
                        </w:rPr>
                        <w:t>LiFSI</w:t>
                      </w:r>
                      <w:proofErr w:type="spellEnd"/>
                      <w:r w:rsidRPr="0072276D">
                        <w:rPr>
                          <w:rFonts w:ascii="Times New Roman" w:hAnsi="Times New Roman" w:cs="Times New Roman"/>
                          <w:i w:val="0"/>
                          <w:iCs w:val="0"/>
                          <w:color w:val="000000" w:themeColor="text1"/>
                          <w:sz w:val="24"/>
                          <w:szCs w:val="24"/>
                        </w:rPr>
                        <w:t>/TMP</w:t>
                      </w:r>
                    </w:p>
                  </w:txbxContent>
                </v:textbox>
                <w10:wrap type="topAndBottom"/>
              </v:shape>
            </w:pict>
          </mc:Fallback>
        </mc:AlternateContent>
      </w:r>
      <w:r w:rsidR="00F65260">
        <w:rPr>
          <w:rFonts w:ascii="Times New Roman" w:hAnsi="Times New Roman" w:cs="Times New Roman"/>
        </w:rPr>
        <w:t>limitation of phosphate-based electrolytes.</w:t>
      </w:r>
    </w:p>
    <w:p w14:paraId="17FA9FFD" w14:textId="77777777" w:rsidR="002B12BD" w:rsidRDefault="002B12BD" w:rsidP="00B21297">
      <w:pPr>
        <w:spacing w:line="288" w:lineRule="auto"/>
        <w:rPr>
          <w:rFonts w:ascii="Times New Roman" w:hAnsi="Times New Roman" w:cs="Times New Roman"/>
        </w:rPr>
      </w:pPr>
    </w:p>
    <w:p w14:paraId="54C114D9" w14:textId="5AD19A67" w:rsidR="00F65260" w:rsidRDefault="0099543A" w:rsidP="00B21297">
      <w:pPr>
        <w:spacing w:line="288" w:lineRule="auto"/>
        <w:rPr>
          <w:rFonts w:ascii="Times New Roman" w:hAnsi="Times New Roman" w:cs="Times New Roman"/>
        </w:rPr>
      </w:pPr>
      <w:r>
        <w:rPr>
          <w:rFonts w:ascii="Times New Roman" w:hAnsi="Times New Roman" w:cs="Times New Roman"/>
        </w:rPr>
        <w:t xml:space="preserve">Fluorinated solvents are another type of flame retardants. They have additional fluorinated methyl groups attached to conventional electrolyte solvents for LIBs. </w:t>
      </w:r>
      <w:r w:rsidR="00214B68">
        <w:rPr>
          <w:rFonts w:ascii="Times New Roman" w:hAnsi="Times New Roman" w:cs="Times New Roman"/>
        </w:rPr>
        <w:t>An electrolyte system composed of 1.0 M LiPF6 in propylene carbonate (PC): methyl(2,2,2-trifluoroethyl)carbonate (FEMC):di-(2,2,2-trifluoroethyl)carbonate (DFDEC) in a 3:2:5 volume ratio was resistant to flame test in contrast to a conventional electrolyte with 1M LiPF</w:t>
      </w:r>
      <w:r w:rsidR="00214B68" w:rsidRPr="00214B68">
        <w:rPr>
          <w:rFonts w:ascii="Times New Roman" w:hAnsi="Times New Roman" w:cs="Times New Roman"/>
          <w:vertAlign w:val="subscript"/>
        </w:rPr>
        <w:t>6</w:t>
      </w:r>
      <w:r w:rsidR="00214B68">
        <w:rPr>
          <w:rFonts w:ascii="Times New Roman" w:hAnsi="Times New Roman" w:cs="Times New Roman"/>
        </w:rPr>
        <w:t xml:space="preserve"> in ethylene carbonate (EC):ethyl-methyl carbonate (EMC) (</w:t>
      </w:r>
      <w:r w:rsidR="00214B68" w:rsidRPr="00B21297">
        <w:rPr>
          <w:rFonts w:ascii="Times New Roman" w:hAnsi="Times New Roman" w:cs="Times New Roman"/>
          <w:b/>
          <w:bCs/>
        </w:rPr>
        <w:t xml:space="preserve">Figure </w:t>
      </w:r>
      <w:r w:rsidR="00B21297" w:rsidRPr="00B21297">
        <w:rPr>
          <w:rFonts w:ascii="Times New Roman" w:hAnsi="Times New Roman" w:cs="Times New Roman"/>
          <w:b/>
          <w:bCs/>
        </w:rPr>
        <w:t>4</w:t>
      </w:r>
      <w:r w:rsidR="00214B68">
        <w:rPr>
          <w:rFonts w:ascii="Times New Roman" w:hAnsi="Times New Roman" w:cs="Times New Roman"/>
        </w:rPr>
        <w:t>)</w:t>
      </w:r>
      <w:r w:rsidR="00456AAB">
        <w:rPr>
          <w:rFonts w:ascii="Times New Roman" w:hAnsi="Times New Roman" w:cs="Times New Roman"/>
        </w:rPr>
        <w:fldChar w:fldCharType="begin"/>
      </w:r>
      <w:r w:rsidR="00456AAB">
        <w:rPr>
          <w:rFonts w:ascii="Times New Roman" w:hAnsi="Times New Roman" w:cs="Times New Roman"/>
        </w:rPr>
        <w:instrText xml:space="preserve"> ADDIN ZOTERO_ITEM CSL_CITATION {"citationID":"ylKZUZi9","properties":{"formattedCitation":"\\super 1\\nosupersub{}","plainCitation":"1","noteIndex":0},"citationItems":[{"id":175,"uris":["http://zotero.org/users/10652978/items/S58X437L"],"itemData":{"id":175,"type":"article-journal","abstract":"This review summarizes eight different strategies to formulate non-flammable liquid electrolytes to improve safety of alkali-metal-ion batteries such as lithium-ion, sodium-ion and potassium-ion batteries.\n          , \n            \n              With continual increments in energy density gradually boosting the performance of rechargeable alkali metal ion (\n              e.g.\n              Li\n              +\n              , Na\n              +\n              , K\n              +\n              ) batteries, their safe operation is of growing importance and needs to be considered during their development. This is essential, given the high-profile incidents involving battery fires as portrayed by the media. Such hazardous events result from exothermic chemical reactions occurring between the flammable electrolyte and the electrode material under abusive operating conditions. Some classes of non-flammable organic liquid electrolytes have shown potential towards safer batteries with minimal detrimental effect on cycling and, in some cases, even enhanced performance. This article reviews the state-of-the-art in non-flammable liquid electrolytes for Li-, Na- and K-ion batteries. It provides the reader with an overview of carbonate, ether and phosphate-based organic electrolytes, co-solvated electrolytes and electrolytes with flame-retardant additives as well as highly concentrated and locally highly concentrated electrolytes, ionic liquids and inorganic electrolytes. Furthermore, the functionality and purpose of the components present in typical non-flammable mixtures are discussed. Moreover, many non-flammable liquid electrolytes are shown to offer improved cycling stability and rate capability compared to conventional flammable liquid electrolytes.","container-title":"Materials Horizons","DOI":"10.1039/D1MH00748C","ISSN":"2051-6347, 2051-6355","issue":"11","journalAbbreviation":"Mater. Horiz.","language":"en","page":"2913-2928","source":"DOI.org (Crossref)","title":"Non-flammable liquid electrolytes for safe batteries","volume":"8","author":[{"family":"Gond","given":"Ritambhara"},{"family":"Van Ekeren","given":"Wessel"},{"family":"Mogensen","given":"Ronnie"},{"family":"Naylor","given":"Andrew J."},{"family":"Younesi","given":"Reza"}],"issued":{"date-parts":[["2021"]]}}}],"schema":"https://github.com/citation-style-language/schema/raw/master/csl-citation.json"} </w:instrText>
      </w:r>
      <w:r w:rsidR="00456AAB">
        <w:rPr>
          <w:rFonts w:ascii="Times New Roman" w:hAnsi="Times New Roman" w:cs="Times New Roman"/>
        </w:rPr>
        <w:fldChar w:fldCharType="separate"/>
      </w:r>
      <w:r w:rsidR="00456AAB" w:rsidRPr="00456AAB">
        <w:rPr>
          <w:rFonts w:ascii="Times New Roman" w:hAnsi="Times New Roman" w:cs="Times New Roman"/>
          <w:kern w:val="0"/>
          <w:vertAlign w:val="superscript"/>
        </w:rPr>
        <w:t>1</w:t>
      </w:r>
      <w:r w:rsidR="00456AAB">
        <w:rPr>
          <w:rFonts w:ascii="Times New Roman" w:hAnsi="Times New Roman" w:cs="Times New Roman"/>
        </w:rPr>
        <w:fldChar w:fldCharType="end"/>
      </w:r>
      <w:r w:rsidR="00214B68">
        <w:rPr>
          <w:rFonts w:ascii="Times New Roman" w:hAnsi="Times New Roman" w:cs="Times New Roman"/>
        </w:rPr>
        <w:t>. Fluorinated co-solvents also help improve the battery performance overall</w:t>
      </w:r>
      <w:r w:rsidR="00F65260">
        <w:rPr>
          <w:rFonts w:ascii="Times New Roman" w:hAnsi="Times New Roman" w:cs="Times New Roman"/>
        </w:rPr>
        <w:t xml:space="preserve"> (</w:t>
      </w:r>
      <w:r w:rsidR="00F65260" w:rsidRPr="00B21297">
        <w:rPr>
          <w:rFonts w:ascii="Times New Roman" w:hAnsi="Times New Roman" w:cs="Times New Roman"/>
          <w:b/>
          <w:bCs/>
        </w:rPr>
        <w:t xml:space="preserve">Figure </w:t>
      </w:r>
      <w:r w:rsidR="00B21297" w:rsidRPr="00B21297">
        <w:rPr>
          <w:rFonts w:ascii="Times New Roman" w:hAnsi="Times New Roman" w:cs="Times New Roman"/>
          <w:b/>
          <w:bCs/>
        </w:rPr>
        <w:t>5</w:t>
      </w:r>
      <w:r w:rsidR="00F65260">
        <w:rPr>
          <w:rFonts w:ascii="Times New Roman" w:hAnsi="Times New Roman" w:cs="Times New Roman"/>
        </w:rPr>
        <w:t>)</w:t>
      </w:r>
      <w:r w:rsidR="00456AAB">
        <w:rPr>
          <w:rFonts w:ascii="Times New Roman" w:hAnsi="Times New Roman" w:cs="Times New Roman"/>
        </w:rPr>
        <w:fldChar w:fldCharType="begin"/>
      </w:r>
      <w:r w:rsidR="00456AAB">
        <w:rPr>
          <w:rFonts w:ascii="Times New Roman" w:hAnsi="Times New Roman" w:cs="Times New Roman"/>
        </w:rPr>
        <w:instrText xml:space="preserve"> ADDIN ZOTERO_ITEM CSL_CITATION {"citationID":"N7obUmsN","properties":{"formattedCitation":"\\super 1\\nosupersub{}","plainCitation":"1","noteIndex":0},"citationItems":[{"id":175,"uris":["http://zotero.org/users/10652978/items/S58X437L"],"itemData":{"id":175,"type":"article-journal","abstract":"This review summarizes eight different strategies to formulate non-flammable liquid electrolytes to improve safety of alkali-metal-ion batteries such as lithium-ion, sodium-ion and potassium-ion batteries.\n          , \n            \n              With continual increments in energy density gradually boosting the performance of rechargeable alkali metal ion (\n              e.g.\n              Li\n              +\n              , Na\n              +\n              , K\n              +\n              ) batteries, their safe operation is of growing importance and needs to be considered during their development. This is essential, given the high-profile incidents involving battery fires as portrayed by the media. Such hazardous events result from exothermic chemical reactions occurring between the flammable electrolyte and the electrode material under abusive operating conditions. Some classes of non-flammable organic liquid electrolytes have shown potential towards safer batteries with minimal detrimental effect on cycling and, in some cases, even enhanced performance. This article reviews the state-of-the-art in non-flammable liquid electrolytes for Li-, Na- and K-ion batteries. It provides the reader with an overview of carbonate, ether and phosphate-based organic electrolytes, co-solvated electrolytes and electrolytes with flame-retardant additives as well as highly concentrated and locally highly concentrated electrolytes, ionic liquids and inorganic electrolytes. Furthermore, the functionality and purpose of the components present in typical non-flammable mixtures are discussed. Moreover, many non-flammable liquid electrolytes are shown to offer improved cycling stability and rate capability compared to conventional flammable liquid electrolytes.","container-title":"Materials Horizons","DOI":"10.1039/D1MH00748C","ISSN":"2051-6347, 2051-6355","issue":"11","journalAbbreviation":"Mater. Horiz.","language":"en","page":"2913-2928","source":"DOI.org (Crossref)","title":"Non-flammable liquid electrolytes for safe batteries","volume":"8","author":[{"family":"Gond","given":"Ritambhara"},{"family":"Van Ekeren","given":"Wessel"},{"family":"Mogensen","given":"Ronnie"},{"family":"Naylor","given":"Andrew J."},{"family":"Younesi","given":"Reza"}],"issued":{"date-parts":[["2021"]]}}}],"schema":"https://github.com/citation-style-language/schema/raw/master/csl-citation.json"} </w:instrText>
      </w:r>
      <w:r w:rsidR="00456AAB">
        <w:rPr>
          <w:rFonts w:ascii="Times New Roman" w:hAnsi="Times New Roman" w:cs="Times New Roman"/>
        </w:rPr>
        <w:fldChar w:fldCharType="separate"/>
      </w:r>
      <w:r w:rsidR="00456AAB" w:rsidRPr="00456AAB">
        <w:rPr>
          <w:rFonts w:ascii="Times New Roman" w:hAnsi="Times New Roman" w:cs="Times New Roman"/>
          <w:kern w:val="0"/>
          <w:vertAlign w:val="superscript"/>
        </w:rPr>
        <w:t>1</w:t>
      </w:r>
      <w:r w:rsidR="00456AAB">
        <w:rPr>
          <w:rFonts w:ascii="Times New Roman" w:hAnsi="Times New Roman" w:cs="Times New Roman"/>
        </w:rPr>
        <w:fldChar w:fldCharType="end"/>
      </w:r>
      <w:r w:rsidR="00214B68">
        <w:rPr>
          <w:rFonts w:ascii="Times New Roman" w:hAnsi="Times New Roman" w:cs="Times New Roman"/>
        </w:rPr>
        <w:t xml:space="preserve">. </w:t>
      </w:r>
      <w:r w:rsidR="00F65260">
        <w:rPr>
          <w:rFonts w:ascii="Times New Roman" w:hAnsi="Times New Roman" w:cs="Times New Roman"/>
        </w:rPr>
        <w:t xml:space="preserve">However, their high viscosity and low ionic conductivity can adversely affect the LIB performance. In addition, fluorinated solvents are generally more expensive compared to regular solvents due to the difficulty in synthesis process. </w:t>
      </w:r>
    </w:p>
    <w:p w14:paraId="15893DFC" w14:textId="04D86EED" w:rsidR="0072276D" w:rsidRDefault="004076C8" w:rsidP="002B12BD">
      <w:pPr>
        <w:spacing w:line="288" w:lineRule="auto"/>
        <w:ind w:firstLine="720"/>
        <w:rPr>
          <w:rFonts w:ascii="Times New Roman" w:hAnsi="Times New Roman" w:cs="Times New Roman"/>
        </w:rPr>
      </w:pPr>
      <w:r w:rsidRPr="00214B68">
        <w:rPr>
          <w:rFonts w:ascii="Times New Roman" w:hAnsi="Times New Roman" w:cs="Times New Roman"/>
          <w:noProof/>
        </w:rPr>
        <w:drawing>
          <wp:inline distT="0" distB="0" distL="0" distR="0" wp14:anchorId="565D347B" wp14:editId="50B32DB9">
            <wp:extent cx="4285753" cy="1963151"/>
            <wp:effectExtent l="0" t="0" r="0" b="5715"/>
            <wp:docPr id="688691265" name="Picture 1" descr="A close-up of a chemical formu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691265" name="Picture 1" descr="A close-up of a chemical formula&#10;&#10;Description automatically generated"/>
                    <pic:cNvPicPr/>
                  </pic:nvPicPr>
                  <pic:blipFill>
                    <a:blip r:embed="rId9"/>
                    <a:stretch>
                      <a:fillRect/>
                    </a:stretch>
                  </pic:blipFill>
                  <pic:spPr>
                    <a:xfrm>
                      <a:off x="0" y="0"/>
                      <a:ext cx="4295660" cy="1967689"/>
                    </a:xfrm>
                    <a:prstGeom prst="rect">
                      <a:avLst/>
                    </a:prstGeom>
                  </pic:spPr>
                </pic:pic>
              </a:graphicData>
            </a:graphic>
          </wp:inline>
        </w:drawing>
      </w:r>
    </w:p>
    <w:p w14:paraId="33B9D015" w14:textId="7A7084FA" w:rsidR="002B12BD" w:rsidRPr="002B12BD" w:rsidRDefault="002B12BD" w:rsidP="002B12BD">
      <w:pPr>
        <w:spacing w:line="288" w:lineRule="auto"/>
        <w:rPr>
          <w:rFonts w:ascii="Times New Roman" w:hAnsi="Times New Roman" w:cs="Times New Roman"/>
        </w:rPr>
      </w:pPr>
      <w:r w:rsidRPr="0072276D">
        <w:rPr>
          <w:rFonts w:ascii="Times New Roman" w:hAnsi="Times New Roman" w:cs="Times New Roman"/>
          <w:b/>
          <w:bCs/>
          <w:color w:val="000000" w:themeColor="text1"/>
          <w:sz w:val="24"/>
          <w:szCs w:val="24"/>
        </w:rPr>
        <w:t xml:space="preserve">Figure </w:t>
      </w:r>
      <w:r w:rsidRPr="0072276D">
        <w:rPr>
          <w:rFonts w:ascii="Times New Roman" w:hAnsi="Times New Roman" w:cs="Times New Roman"/>
          <w:b/>
          <w:bCs/>
          <w:i/>
          <w:iCs/>
          <w:color w:val="000000" w:themeColor="text1"/>
          <w:sz w:val="24"/>
          <w:szCs w:val="24"/>
        </w:rPr>
        <w:fldChar w:fldCharType="begin"/>
      </w:r>
      <w:r w:rsidRPr="0072276D">
        <w:rPr>
          <w:rFonts w:ascii="Times New Roman" w:hAnsi="Times New Roman" w:cs="Times New Roman"/>
          <w:b/>
          <w:bCs/>
          <w:color w:val="000000" w:themeColor="text1"/>
          <w:sz w:val="24"/>
          <w:szCs w:val="24"/>
        </w:rPr>
        <w:instrText xml:space="preserve"> SEQ Figure \* ARABIC </w:instrText>
      </w:r>
      <w:r w:rsidRPr="0072276D">
        <w:rPr>
          <w:rFonts w:ascii="Times New Roman" w:hAnsi="Times New Roman" w:cs="Times New Roman"/>
          <w:b/>
          <w:bCs/>
          <w:i/>
          <w:iCs/>
          <w:color w:val="000000" w:themeColor="text1"/>
          <w:sz w:val="24"/>
          <w:szCs w:val="24"/>
        </w:rPr>
        <w:fldChar w:fldCharType="separate"/>
      </w:r>
      <w:r>
        <w:rPr>
          <w:rFonts w:ascii="Times New Roman" w:hAnsi="Times New Roman" w:cs="Times New Roman"/>
          <w:b/>
          <w:bCs/>
          <w:noProof/>
          <w:color w:val="000000" w:themeColor="text1"/>
          <w:sz w:val="24"/>
          <w:szCs w:val="24"/>
        </w:rPr>
        <w:t>4</w:t>
      </w:r>
      <w:r w:rsidRPr="0072276D">
        <w:rPr>
          <w:rFonts w:ascii="Times New Roman" w:hAnsi="Times New Roman" w:cs="Times New Roman"/>
          <w:b/>
          <w:bCs/>
          <w:i/>
          <w:iCs/>
          <w:color w:val="000000" w:themeColor="text1"/>
          <w:sz w:val="24"/>
          <w:szCs w:val="24"/>
        </w:rPr>
        <w:fldChar w:fldCharType="end"/>
      </w:r>
      <w:r w:rsidRPr="0072276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72276D">
        <w:rPr>
          <w:rFonts w:ascii="Times New Roman" w:hAnsi="Times New Roman" w:cs="Times New Roman"/>
          <w:color w:val="000000" w:themeColor="text1"/>
          <w:sz w:val="24"/>
          <w:szCs w:val="24"/>
        </w:rPr>
        <w:t>Fluorinated flame retardants and the flame test of the electrolyte consisting of 1.0 M LiPF</w:t>
      </w:r>
      <w:r w:rsidRPr="00023B75">
        <w:rPr>
          <w:rFonts w:ascii="Times New Roman" w:hAnsi="Times New Roman" w:cs="Times New Roman"/>
          <w:color w:val="000000" w:themeColor="text1"/>
          <w:sz w:val="24"/>
          <w:szCs w:val="24"/>
          <w:vertAlign w:val="subscript"/>
        </w:rPr>
        <w:t>6</w:t>
      </w:r>
      <w:r w:rsidRPr="0072276D">
        <w:rPr>
          <w:rFonts w:ascii="Times New Roman" w:hAnsi="Times New Roman" w:cs="Times New Roman"/>
          <w:color w:val="000000" w:themeColor="text1"/>
          <w:sz w:val="24"/>
          <w:szCs w:val="24"/>
        </w:rPr>
        <w:t>/</w:t>
      </w:r>
      <w:proofErr w:type="gramStart"/>
      <w:r w:rsidRPr="0072276D">
        <w:rPr>
          <w:rFonts w:ascii="Times New Roman" w:hAnsi="Times New Roman" w:cs="Times New Roman"/>
          <w:color w:val="000000" w:themeColor="text1"/>
          <w:sz w:val="24"/>
          <w:szCs w:val="24"/>
        </w:rPr>
        <w:t>PC:FEMC</w:t>
      </w:r>
      <w:proofErr w:type="gramEnd"/>
      <w:r w:rsidRPr="0072276D">
        <w:rPr>
          <w:rFonts w:ascii="Times New Roman" w:hAnsi="Times New Roman" w:cs="Times New Roman"/>
          <w:color w:val="000000" w:themeColor="text1"/>
          <w:sz w:val="24"/>
          <w:szCs w:val="24"/>
        </w:rPr>
        <w:t>:DFDEC</w:t>
      </w:r>
    </w:p>
    <w:p w14:paraId="291B8F5E" w14:textId="467F18E3" w:rsidR="0072276D" w:rsidRPr="002B12BD" w:rsidRDefault="004076C8" w:rsidP="002B12BD">
      <w:pPr>
        <w:pStyle w:val="Caption"/>
        <w:jc w:val="both"/>
        <w:rPr>
          <w:rFonts w:ascii="Times New Roman" w:hAnsi="Times New Roman" w:cs="Times New Roman"/>
          <w:i w:val="0"/>
          <w:iCs w:val="0"/>
          <w:color w:val="000000" w:themeColor="text1"/>
          <w:sz w:val="24"/>
          <w:szCs w:val="24"/>
        </w:rPr>
      </w:pPr>
      <w:r w:rsidRPr="00023B75">
        <w:rPr>
          <w:noProof/>
        </w:rPr>
        <w:lastRenderedPageBreak/>
        <w:drawing>
          <wp:inline distT="0" distB="0" distL="0" distR="0" wp14:anchorId="4C1ECB3C" wp14:editId="06CEB222">
            <wp:extent cx="5943600" cy="2390775"/>
            <wp:effectExtent l="0" t="0" r="0" b="0"/>
            <wp:docPr id="2100606109" name="Picture 1" descr="A graph of a number of electrical compon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606109" name="Picture 1" descr="A graph of a number of electrical components&#10;&#10;Description automatically generated with medium confidence"/>
                    <pic:cNvPicPr/>
                  </pic:nvPicPr>
                  <pic:blipFill>
                    <a:blip r:embed="rId10"/>
                    <a:stretch>
                      <a:fillRect/>
                    </a:stretch>
                  </pic:blipFill>
                  <pic:spPr>
                    <a:xfrm>
                      <a:off x="0" y="0"/>
                      <a:ext cx="5943600" cy="2390775"/>
                    </a:xfrm>
                    <a:prstGeom prst="rect">
                      <a:avLst/>
                    </a:prstGeom>
                  </pic:spPr>
                </pic:pic>
              </a:graphicData>
            </a:graphic>
          </wp:inline>
        </w:drawing>
      </w:r>
    </w:p>
    <w:p w14:paraId="18F1FA9D" w14:textId="250EF24B" w:rsidR="008444B7" w:rsidRPr="00023B75" w:rsidRDefault="0072276D" w:rsidP="0072276D">
      <w:pPr>
        <w:pStyle w:val="Caption"/>
        <w:rPr>
          <w:rFonts w:ascii="Times New Roman" w:hAnsi="Times New Roman" w:cs="Times New Roman"/>
          <w:i w:val="0"/>
          <w:iCs w:val="0"/>
          <w:color w:val="000000" w:themeColor="text1"/>
          <w:sz w:val="24"/>
          <w:szCs w:val="24"/>
        </w:rPr>
      </w:pPr>
      <w:r w:rsidRPr="00023B75">
        <w:rPr>
          <w:rFonts w:ascii="Times New Roman" w:hAnsi="Times New Roman" w:cs="Times New Roman"/>
          <w:b/>
          <w:bCs/>
          <w:i w:val="0"/>
          <w:iCs w:val="0"/>
          <w:color w:val="000000" w:themeColor="text1"/>
          <w:sz w:val="24"/>
          <w:szCs w:val="24"/>
        </w:rPr>
        <w:t xml:space="preserve">Figure </w:t>
      </w:r>
      <w:r w:rsidRPr="00023B75">
        <w:rPr>
          <w:rFonts w:ascii="Times New Roman" w:hAnsi="Times New Roman" w:cs="Times New Roman"/>
          <w:b/>
          <w:bCs/>
          <w:i w:val="0"/>
          <w:iCs w:val="0"/>
          <w:color w:val="000000" w:themeColor="text1"/>
          <w:sz w:val="24"/>
          <w:szCs w:val="24"/>
        </w:rPr>
        <w:fldChar w:fldCharType="begin"/>
      </w:r>
      <w:r w:rsidRPr="00023B75">
        <w:rPr>
          <w:rFonts w:ascii="Times New Roman" w:hAnsi="Times New Roman" w:cs="Times New Roman"/>
          <w:b/>
          <w:bCs/>
          <w:i w:val="0"/>
          <w:iCs w:val="0"/>
          <w:color w:val="000000" w:themeColor="text1"/>
          <w:sz w:val="24"/>
          <w:szCs w:val="24"/>
        </w:rPr>
        <w:instrText xml:space="preserve"> SEQ Figure \* ARABIC </w:instrText>
      </w:r>
      <w:r w:rsidRPr="00023B75">
        <w:rPr>
          <w:rFonts w:ascii="Times New Roman" w:hAnsi="Times New Roman" w:cs="Times New Roman"/>
          <w:b/>
          <w:bCs/>
          <w:i w:val="0"/>
          <w:iCs w:val="0"/>
          <w:color w:val="000000" w:themeColor="text1"/>
          <w:sz w:val="24"/>
          <w:szCs w:val="24"/>
        </w:rPr>
        <w:fldChar w:fldCharType="separate"/>
      </w:r>
      <w:r w:rsidR="00896FA2">
        <w:rPr>
          <w:rFonts w:ascii="Times New Roman" w:hAnsi="Times New Roman" w:cs="Times New Roman"/>
          <w:b/>
          <w:bCs/>
          <w:i w:val="0"/>
          <w:iCs w:val="0"/>
          <w:noProof/>
          <w:color w:val="000000" w:themeColor="text1"/>
          <w:sz w:val="24"/>
          <w:szCs w:val="24"/>
        </w:rPr>
        <w:t>5</w:t>
      </w:r>
      <w:r w:rsidRPr="00023B75">
        <w:rPr>
          <w:rFonts w:ascii="Times New Roman" w:hAnsi="Times New Roman" w:cs="Times New Roman"/>
          <w:b/>
          <w:bCs/>
          <w:i w:val="0"/>
          <w:iCs w:val="0"/>
          <w:color w:val="000000" w:themeColor="text1"/>
          <w:sz w:val="24"/>
          <w:szCs w:val="24"/>
        </w:rPr>
        <w:fldChar w:fldCharType="end"/>
      </w:r>
      <w:r w:rsidRPr="00023B75">
        <w:rPr>
          <w:rFonts w:ascii="Times New Roman" w:hAnsi="Times New Roman" w:cs="Times New Roman"/>
          <w:i w:val="0"/>
          <w:iCs w:val="0"/>
          <w:color w:val="000000" w:themeColor="text1"/>
          <w:sz w:val="24"/>
          <w:szCs w:val="24"/>
        </w:rPr>
        <w:t>. Discharge capacity at different charge cut-off voltages of Li//LiNi</w:t>
      </w:r>
      <w:r w:rsidR="00023B75" w:rsidRPr="00023B75">
        <w:rPr>
          <w:rFonts w:ascii="Times New Roman" w:hAnsi="Times New Roman" w:cs="Times New Roman"/>
          <w:i w:val="0"/>
          <w:iCs w:val="0"/>
          <w:color w:val="000000" w:themeColor="text1"/>
          <w:sz w:val="24"/>
          <w:szCs w:val="24"/>
          <w:vertAlign w:val="subscript"/>
        </w:rPr>
        <w:t>0.8</w:t>
      </w:r>
      <w:r w:rsidRPr="00023B75">
        <w:rPr>
          <w:rFonts w:ascii="Times New Roman" w:hAnsi="Times New Roman" w:cs="Times New Roman"/>
          <w:i w:val="0"/>
          <w:iCs w:val="0"/>
          <w:color w:val="000000" w:themeColor="text1"/>
          <w:sz w:val="24"/>
          <w:szCs w:val="24"/>
        </w:rPr>
        <w:t>Co</w:t>
      </w:r>
      <w:r w:rsidR="00023B75" w:rsidRPr="00023B75">
        <w:rPr>
          <w:rFonts w:ascii="Times New Roman" w:hAnsi="Times New Roman" w:cs="Times New Roman"/>
          <w:i w:val="0"/>
          <w:iCs w:val="0"/>
          <w:color w:val="000000" w:themeColor="text1"/>
          <w:sz w:val="24"/>
          <w:szCs w:val="24"/>
          <w:vertAlign w:val="subscript"/>
        </w:rPr>
        <w:t>0.1</w:t>
      </w:r>
      <w:r w:rsidRPr="00023B75">
        <w:rPr>
          <w:rFonts w:ascii="Times New Roman" w:hAnsi="Times New Roman" w:cs="Times New Roman"/>
          <w:i w:val="0"/>
          <w:iCs w:val="0"/>
          <w:color w:val="000000" w:themeColor="text1"/>
          <w:sz w:val="24"/>
          <w:szCs w:val="24"/>
        </w:rPr>
        <w:t>Mn</w:t>
      </w:r>
      <w:r w:rsidR="00023B75" w:rsidRPr="00023B75">
        <w:rPr>
          <w:rFonts w:ascii="Times New Roman" w:hAnsi="Times New Roman" w:cs="Times New Roman"/>
          <w:i w:val="0"/>
          <w:iCs w:val="0"/>
          <w:color w:val="000000" w:themeColor="text1"/>
          <w:sz w:val="24"/>
          <w:szCs w:val="24"/>
          <w:vertAlign w:val="subscript"/>
        </w:rPr>
        <w:t>0.1</w:t>
      </w:r>
      <w:r w:rsidRPr="00023B75">
        <w:rPr>
          <w:rFonts w:ascii="Times New Roman" w:hAnsi="Times New Roman" w:cs="Times New Roman"/>
          <w:i w:val="0"/>
          <w:iCs w:val="0"/>
          <w:color w:val="000000" w:themeColor="text1"/>
          <w:sz w:val="24"/>
          <w:szCs w:val="24"/>
        </w:rPr>
        <w:t>O</w:t>
      </w:r>
      <w:r w:rsidR="00023B75" w:rsidRPr="00023B75">
        <w:rPr>
          <w:rFonts w:ascii="Times New Roman" w:hAnsi="Times New Roman" w:cs="Times New Roman"/>
          <w:i w:val="0"/>
          <w:iCs w:val="0"/>
          <w:color w:val="000000" w:themeColor="text1"/>
          <w:sz w:val="24"/>
          <w:szCs w:val="24"/>
          <w:vertAlign w:val="subscript"/>
        </w:rPr>
        <w:t>2</w:t>
      </w:r>
      <w:r w:rsidR="00023B75">
        <w:rPr>
          <w:rFonts w:ascii="Times New Roman" w:hAnsi="Times New Roman" w:cs="Times New Roman"/>
          <w:i w:val="0"/>
          <w:iCs w:val="0"/>
          <w:color w:val="000000" w:themeColor="text1"/>
          <w:sz w:val="24"/>
          <w:szCs w:val="24"/>
        </w:rPr>
        <w:t xml:space="preserve"> </w:t>
      </w:r>
      <w:r w:rsidRPr="00023B75">
        <w:rPr>
          <w:rFonts w:ascii="Times New Roman" w:hAnsi="Times New Roman" w:cs="Times New Roman"/>
          <w:i w:val="0"/>
          <w:iCs w:val="0"/>
          <w:color w:val="000000" w:themeColor="text1"/>
          <w:sz w:val="24"/>
          <w:szCs w:val="24"/>
        </w:rPr>
        <w:t>half-cells with (</w:t>
      </w:r>
      <w:r w:rsidRPr="00023B75">
        <w:rPr>
          <w:rFonts w:ascii="Times New Roman" w:hAnsi="Times New Roman" w:cs="Times New Roman"/>
          <w:b/>
          <w:bCs/>
          <w:i w:val="0"/>
          <w:iCs w:val="0"/>
          <w:color w:val="000000" w:themeColor="text1"/>
          <w:sz w:val="24"/>
          <w:szCs w:val="24"/>
        </w:rPr>
        <w:t>a</w:t>
      </w:r>
      <w:r w:rsidRPr="00023B75">
        <w:rPr>
          <w:rFonts w:ascii="Times New Roman" w:hAnsi="Times New Roman" w:cs="Times New Roman"/>
          <w:i w:val="0"/>
          <w:iCs w:val="0"/>
          <w:color w:val="000000" w:themeColor="text1"/>
          <w:sz w:val="24"/>
          <w:szCs w:val="24"/>
        </w:rPr>
        <w:t xml:space="preserve">) </w:t>
      </w:r>
      <w:r w:rsidR="00023B75" w:rsidRPr="00023B75">
        <w:rPr>
          <w:rFonts w:ascii="Times New Roman" w:hAnsi="Times New Roman" w:cs="Times New Roman"/>
          <w:i w:val="0"/>
          <w:iCs w:val="0"/>
          <w:color w:val="000000" w:themeColor="text1"/>
          <w:sz w:val="24"/>
          <w:szCs w:val="24"/>
        </w:rPr>
        <w:t>conventional electrolyte and (</w:t>
      </w:r>
      <w:r w:rsidR="00023B75" w:rsidRPr="00023B75">
        <w:rPr>
          <w:rFonts w:ascii="Times New Roman" w:hAnsi="Times New Roman" w:cs="Times New Roman"/>
          <w:b/>
          <w:bCs/>
          <w:i w:val="0"/>
          <w:iCs w:val="0"/>
          <w:color w:val="000000" w:themeColor="text1"/>
          <w:sz w:val="24"/>
          <w:szCs w:val="24"/>
        </w:rPr>
        <w:t>b</w:t>
      </w:r>
      <w:r w:rsidR="00023B75" w:rsidRPr="00023B75">
        <w:rPr>
          <w:rFonts w:ascii="Times New Roman" w:hAnsi="Times New Roman" w:cs="Times New Roman"/>
          <w:i w:val="0"/>
          <w:iCs w:val="0"/>
          <w:color w:val="000000" w:themeColor="text1"/>
          <w:sz w:val="24"/>
          <w:szCs w:val="24"/>
        </w:rPr>
        <w:t>) non-flammable electrolyte consisting of 1.0 M LiPF</w:t>
      </w:r>
      <w:r w:rsidR="00023B75" w:rsidRPr="00023B75">
        <w:rPr>
          <w:rFonts w:ascii="Times New Roman" w:hAnsi="Times New Roman" w:cs="Times New Roman"/>
          <w:i w:val="0"/>
          <w:iCs w:val="0"/>
          <w:color w:val="000000" w:themeColor="text1"/>
          <w:sz w:val="24"/>
          <w:szCs w:val="24"/>
          <w:vertAlign w:val="subscript"/>
        </w:rPr>
        <w:t>6</w:t>
      </w:r>
      <w:r w:rsidR="00023B75" w:rsidRPr="00023B75">
        <w:rPr>
          <w:rFonts w:ascii="Times New Roman" w:hAnsi="Times New Roman" w:cs="Times New Roman"/>
          <w:i w:val="0"/>
          <w:iCs w:val="0"/>
          <w:color w:val="000000" w:themeColor="text1"/>
          <w:sz w:val="24"/>
          <w:szCs w:val="24"/>
        </w:rPr>
        <w:t>/</w:t>
      </w:r>
      <w:proofErr w:type="gramStart"/>
      <w:r w:rsidR="00023B75" w:rsidRPr="00023B75">
        <w:rPr>
          <w:rFonts w:ascii="Times New Roman" w:hAnsi="Times New Roman" w:cs="Times New Roman"/>
          <w:i w:val="0"/>
          <w:iCs w:val="0"/>
          <w:color w:val="000000" w:themeColor="text1"/>
          <w:sz w:val="24"/>
          <w:szCs w:val="24"/>
        </w:rPr>
        <w:t>PC:FEMC</w:t>
      </w:r>
      <w:proofErr w:type="gramEnd"/>
      <w:r w:rsidR="00023B75" w:rsidRPr="00023B75">
        <w:rPr>
          <w:rFonts w:ascii="Times New Roman" w:hAnsi="Times New Roman" w:cs="Times New Roman"/>
          <w:i w:val="0"/>
          <w:iCs w:val="0"/>
          <w:color w:val="000000" w:themeColor="text1"/>
          <w:sz w:val="24"/>
          <w:szCs w:val="24"/>
        </w:rPr>
        <w:t xml:space="preserve">:DFDEC </w:t>
      </w:r>
    </w:p>
    <w:p w14:paraId="78B4E20B" w14:textId="2F809782" w:rsidR="00F65260" w:rsidRDefault="00F65260" w:rsidP="00811191">
      <w:pPr>
        <w:spacing w:line="288" w:lineRule="auto"/>
        <w:rPr>
          <w:rFonts w:ascii="Times New Roman" w:hAnsi="Times New Roman" w:cs="Times New Roman"/>
        </w:rPr>
      </w:pPr>
    </w:p>
    <w:p w14:paraId="0539BCF0" w14:textId="1AA24447" w:rsidR="00214B68" w:rsidRDefault="00F65260" w:rsidP="00811191">
      <w:pPr>
        <w:spacing w:line="288" w:lineRule="auto"/>
        <w:rPr>
          <w:rFonts w:ascii="Times New Roman" w:hAnsi="Times New Roman" w:cs="Times New Roman"/>
        </w:rPr>
      </w:pPr>
      <w:r>
        <w:rPr>
          <w:rFonts w:ascii="Times New Roman" w:hAnsi="Times New Roman" w:cs="Times New Roman"/>
        </w:rPr>
        <w:t>HIGHLY CONCENTRATED ELECTROLYTES</w:t>
      </w:r>
    </w:p>
    <w:p w14:paraId="381037DE" w14:textId="702E5C16" w:rsidR="00023B75" w:rsidRDefault="00F65260" w:rsidP="00023B75">
      <w:pPr>
        <w:keepNext/>
        <w:spacing w:line="288" w:lineRule="auto"/>
      </w:pPr>
      <w:r>
        <w:rPr>
          <w:rFonts w:ascii="Times New Roman" w:hAnsi="Times New Roman" w:cs="Times New Roman"/>
        </w:rPr>
        <w:t>While the concentration of conventional LIB liquid electrolyte is 1M, increasing the concentration of salt can reduce the flammability of the electrolyte. Electrolyte with salt concentration higher than 4 M is considered as highly concentrated electrolyte (HCE). In HCE system, significant amount of</w:t>
      </w:r>
      <w:r w:rsidR="00F545FB">
        <w:rPr>
          <w:rFonts w:ascii="Times New Roman" w:hAnsi="Times New Roman" w:cs="Times New Roman" w:hint="eastAsia"/>
        </w:rPr>
        <w:t xml:space="preserve"> </w:t>
      </w:r>
      <w:r w:rsidR="00F545FB">
        <w:rPr>
          <w:rFonts w:ascii="Times New Roman" w:hAnsi="Times New Roman" w:cs="Times New Roman"/>
        </w:rPr>
        <w:t>electrolyte is non-combustible salt which increases its thermal stability (</w:t>
      </w:r>
      <w:r w:rsidR="00F545FB" w:rsidRPr="00B21297">
        <w:rPr>
          <w:rFonts w:ascii="Times New Roman" w:hAnsi="Times New Roman" w:cs="Times New Roman"/>
          <w:b/>
          <w:bCs/>
        </w:rPr>
        <w:t xml:space="preserve">Figure </w:t>
      </w:r>
      <w:r w:rsidR="00B21297" w:rsidRPr="00B21297">
        <w:rPr>
          <w:rFonts w:ascii="Times New Roman" w:hAnsi="Times New Roman" w:cs="Times New Roman"/>
          <w:b/>
          <w:bCs/>
        </w:rPr>
        <w:t>6</w:t>
      </w:r>
      <w:r w:rsidR="00F545FB">
        <w:rPr>
          <w:rFonts w:ascii="Times New Roman" w:hAnsi="Times New Roman" w:cs="Times New Roman"/>
        </w:rPr>
        <w:t>)</w:t>
      </w:r>
      <w:r w:rsidR="003765A6">
        <w:rPr>
          <w:rFonts w:ascii="Times New Roman" w:hAnsi="Times New Roman" w:cs="Times New Roman"/>
        </w:rPr>
        <w:fldChar w:fldCharType="begin"/>
      </w:r>
      <w:r w:rsidR="003765A6">
        <w:rPr>
          <w:rFonts w:ascii="Times New Roman" w:hAnsi="Times New Roman" w:cs="Times New Roman"/>
        </w:rPr>
        <w:instrText xml:space="preserve"> ADDIN ZOTERO_ITEM CSL_CITATION {"citationID":"5rJUnZTa","properties":{"formattedCitation":"\\super 2\\nosupersub{}","plainCitation":"2","noteIndex":0},"citationItems":[{"id":177,"uris":["http://zotero.org/users/10652978/items/5F8UXQ4W"],"itemData":{"id":177,"type":"article-journal","abstract":"Abstract\n            \n              Finding a viable electrolyte for next-generation 5 V-class lithium-ion batteries is of primary importance. A long-standing obstacle has been metal-ion dissolution at high voltages. The LiPF\n              6\n              salt in conventional electrolytes is chemically unstable, which accelerates transition metal dissolution of the electrode material, yet beneficially suppresses oxidative dissolution of the aluminium current collector; replacing LiPF\n              6\n              with more stable lithium salts may diminish transition metal dissolution but unfortunately encounters severe aluminium oxidation. Here we report an electrolyte design that can solve this dilemma. By mixing a stable lithium salt LiN(SO\n              2\n              F)\n              2\n              with dimethyl carbonate solvent at extremely high concentrations, we obtain an unusual liquid showing a three-dimensional network of anions and solvent molecules that coordinate strongly to Li\n              +\n              ions. This simple formulation of superconcentrated LiN(SO\n              2\n              F)\n              2\n              /dimethyl carbonate electrolyte inhibits the dissolution of both aluminium and transition metal at around 5 V, and realizes a high-voltage LiNi\n              0.5\n              Mn\n              1.5\n              O\n              4\n              /graphite battery that exhibits excellent cycling durability, high rate capability and enhanced safety.","container-title":"Nature Communications","DOI":"10.1038/ncomms12032","ISSN":"2041-1723","issue":"1","journalAbbreviation":"Nat Commun","language":"en","page":"12032","source":"DOI.org (Crossref)","title":"Superconcentrated electrolytes for a high-voltage lithium-ion battery","volume":"7","author":[{"family":"Wang","given":"Jianhui"},{"family":"Yamada","given":"Yuki"},{"family":"Sodeyama","given":"Keitaro"},{"family":"Chiang","given":"Ching Hua"},{"family":"Tateyama","given":"Yoshitaka"},{"family":"Yamada","given":"Atsuo"}],"issued":{"date-parts":[["2016",6,29]]}}}],"schema":"https://github.com/citation-style-language/schema/raw/master/csl-citation.json"} </w:instrText>
      </w:r>
      <w:r w:rsidR="003765A6">
        <w:rPr>
          <w:rFonts w:ascii="Times New Roman" w:hAnsi="Times New Roman" w:cs="Times New Roman"/>
        </w:rPr>
        <w:fldChar w:fldCharType="separate"/>
      </w:r>
      <w:r w:rsidR="003765A6" w:rsidRPr="003765A6">
        <w:rPr>
          <w:rFonts w:ascii="Times New Roman" w:hAnsi="Times New Roman" w:cs="Times New Roman"/>
          <w:kern w:val="0"/>
          <w:vertAlign w:val="superscript"/>
        </w:rPr>
        <w:t>2</w:t>
      </w:r>
      <w:r w:rsidR="003765A6">
        <w:rPr>
          <w:rFonts w:ascii="Times New Roman" w:hAnsi="Times New Roman" w:cs="Times New Roman"/>
        </w:rPr>
        <w:fldChar w:fldCharType="end"/>
      </w:r>
      <w:r w:rsidR="00F545FB">
        <w:rPr>
          <w:rFonts w:ascii="Times New Roman" w:hAnsi="Times New Roman" w:cs="Times New Roman"/>
        </w:rPr>
        <w:t>. Furthermore, HCE is reported to improve battery performance overall due to the stable electrolyte-electrode interface. The highly stable and inorganic interface can be attributed to the high anion concentration in the electrolyte</w:t>
      </w:r>
      <w:r w:rsidR="00456AAB">
        <w:rPr>
          <w:rFonts w:ascii="Times New Roman" w:hAnsi="Times New Roman" w:cs="Times New Roman"/>
        </w:rPr>
        <w:fldChar w:fldCharType="begin"/>
      </w:r>
      <w:r w:rsidR="003765A6">
        <w:rPr>
          <w:rFonts w:ascii="Times New Roman" w:hAnsi="Times New Roman" w:cs="Times New Roman"/>
        </w:rPr>
        <w:instrText xml:space="preserve"> ADDIN ZOTERO_ITEM CSL_CITATION {"citationID":"184oVD9z","properties":{"formattedCitation":"\\super 2,3\\nosupersub{}","plainCitation":"2,3","noteIndex":0},"citationItems":[{"id":177,"uris":["http://zotero.org/users/10652978/items/5F8UXQ4W"],"itemData":{"id":177,"type":"article-journal","abstract":"Abstract\n            \n              Finding a viable electrolyte for next-generation 5 V-class lithium-ion batteries is of primary importance. A long-standing obstacle has been metal-ion dissolution at high voltages. The LiPF\n              6\n              salt in conventional electrolytes is chemically unstable, which accelerates transition metal dissolution of the electrode material, yet beneficially suppresses oxidative dissolution of the aluminium current collector; replacing LiPF\n              6\n              with more stable lithium salts may diminish transition metal dissolution but unfortunately encounters severe aluminium oxidation. Here we report an electrolyte design that can solve this dilemma. By mixing a stable lithium salt LiN(SO\n              2\n              F)\n              2\n              with dimethyl carbonate solvent at extremely high concentrations, we obtain an unusual liquid showing a three-dimensional network of anions and solvent molecules that coordinate strongly to Li\n              +\n              ions. This simple formulation of superconcentrated LiN(SO\n              2\n              F)\n              2\n              /dimethyl carbonate electrolyte inhibits the dissolution of both aluminium and transition metal at around 5 V, and realizes a high-voltage LiNi\n              0.5\n              Mn\n              1.5\n              O\n              4\n              /graphite battery that exhibits excellent cycling durability, high rate capability and enhanced safety.","container-title":"Nature Communications","DOI":"10.1038/ncomms12032","ISSN":"2041-1723","issue":"1","journalAbbreviation":"Nat Commun","language":"en","page":"12032","source":"DOI.org (Crossref)","title":"Superconcentrated electrolytes for a high-voltage lithium-ion battery","volume":"7","author":[{"family":"Wang","given":"Jianhui"},{"family":"Yamada","given":"Yuki"},{"family":"Sodeyama","given":"Keitaro"},{"family":"Chiang","given":"Ching Hua"},{"family":"Tateyama","given":"Yoshitaka"},{"family":"Yamada","given":"Atsuo"}],"issued":{"date-parts":[["2016",6,29]]}}},{"id":179,"uris":["http://zotero.org/users/10652978/items/CIYJE53Q"],"itemData":{"id":179,"type":"article-journal","container-title":"Nature Energy","DOI":"10.1038/s41560-019-0336-z","ISSN":"2058-7546","issue":"4","journalAbbreviation":"Nat Energy","language":"en","page":"269-280","source":"DOI.org (Crossref)","title":"Advances and issues in developing salt-concentrated battery electrolytes","volume":"4","author":[{"family":"Yamada","given":"Yuki"},{"family":"Wang","given":"Jianhui"},{"family":"Ko","given":"Seongjae"},{"family":"Watanabe","given":"Eriko"},{"family":"Yamada","given":"Atsuo"}],"issued":{"date-parts":[["2019",3,11]]}}}],"schema":"https://github.com/citation-style-language/schema/raw/master/csl-citation.json"} </w:instrText>
      </w:r>
      <w:r w:rsidR="00456AAB">
        <w:rPr>
          <w:rFonts w:ascii="Times New Roman" w:hAnsi="Times New Roman" w:cs="Times New Roman"/>
        </w:rPr>
        <w:fldChar w:fldCharType="separate"/>
      </w:r>
      <w:r w:rsidR="003765A6" w:rsidRPr="003765A6">
        <w:rPr>
          <w:rFonts w:ascii="Times New Roman" w:hAnsi="Times New Roman" w:cs="Times New Roman"/>
          <w:kern w:val="0"/>
          <w:vertAlign w:val="superscript"/>
        </w:rPr>
        <w:t>2,3</w:t>
      </w:r>
      <w:r w:rsidR="00456AAB">
        <w:rPr>
          <w:rFonts w:ascii="Times New Roman" w:hAnsi="Times New Roman" w:cs="Times New Roman"/>
        </w:rPr>
        <w:fldChar w:fldCharType="end"/>
      </w:r>
      <w:r w:rsidR="00F545FB">
        <w:rPr>
          <w:rFonts w:ascii="Times New Roman" w:hAnsi="Times New Roman" w:cs="Times New Roman"/>
        </w:rPr>
        <w:t xml:space="preserve">. </w:t>
      </w:r>
      <w:r w:rsidR="00023B75" w:rsidRPr="00023B75">
        <w:rPr>
          <w:rFonts w:ascii="Times New Roman" w:hAnsi="Times New Roman" w:cs="Times New Roman"/>
          <w:noProof/>
        </w:rPr>
        <w:drawing>
          <wp:inline distT="0" distB="0" distL="0" distR="0" wp14:anchorId="7A518440" wp14:editId="13009230">
            <wp:extent cx="5943600" cy="2243455"/>
            <wp:effectExtent l="0" t="0" r="0" b="4445"/>
            <wp:docPr id="1164362069" name="Picture 1" descr="A close-up of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362069" name="Picture 1" descr="A close-up of a flame&#10;&#10;Description automatically generated"/>
                    <pic:cNvPicPr/>
                  </pic:nvPicPr>
                  <pic:blipFill>
                    <a:blip r:embed="rId11"/>
                    <a:stretch>
                      <a:fillRect/>
                    </a:stretch>
                  </pic:blipFill>
                  <pic:spPr>
                    <a:xfrm>
                      <a:off x="0" y="0"/>
                      <a:ext cx="5943600" cy="2243455"/>
                    </a:xfrm>
                    <a:prstGeom prst="rect">
                      <a:avLst/>
                    </a:prstGeom>
                  </pic:spPr>
                </pic:pic>
              </a:graphicData>
            </a:graphic>
          </wp:inline>
        </w:drawing>
      </w:r>
    </w:p>
    <w:p w14:paraId="216B85BF" w14:textId="2A96D08D" w:rsidR="00023B75" w:rsidRPr="00B21297" w:rsidRDefault="00023B75" w:rsidP="00023B75">
      <w:pPr>
        <w:pStyle w:val="Caption"/>
        <w:rPr>
          <w:rFonts w:ascii="Times New Roman" w:hAnsi="Times New Roman" w:cs="Times New Roman"/>
          <w:i w:val="0"/>
          <w:iCs w:val="0"/>
          <w:color w:val="000000" w:themeColor="text1"/>
          <w:sz w:val="24"/>
          <w:szCs w:val="24"/>
        </w:rPr>
      </w:pPr>
      <w:r w:rsidRPr="00B21297">
        <w:rPr>
          <w:rFonts w:ascii="Times New Roman" w:hAnsi="Times New Roman" w:cs="Times New Roman"/>
          <w:b/>
          <w:bCs/>
          <w:i w:val="0"/>
          <w:iCs w:val="0"/>
          <w:color w:val="000000" w:themeColor="text1"/>
          <w:sz w:val="24"/>
          <w:szCs w:val="24"/>
        </w:rPr>
        <w:t xml:space="preserve">Figure </w:t>
      </w:r>
      <w:r w:rsidRPr="00B21297">
        <w:rPr>
          <w:rFonts w:ascii="Times New Roman" w:hAnsi="Times New Roman" w:cs="Times New Roman"/>
          <w:b/>
          <w:bCs/>
          <w:i w:val="0"/>
          <w:iCs w:val="0"/>
          <w:color w:val="000000" w:themeColor="text1"/>
          <w:sz w:val="24"/>
          <w:szCs w:val="24"/>
        </w:rPr>
        <w:fldChar w:fldCharType="begin"/>
      </w:r>
      <w:r w:rsidRPr="00B21297">
        <w:rPr>
          <w:rFonts w:ascii="Times New Roman" w:hAnsi="Times New Roman" w:cs="Times New Roman"/>
          <w:b/>
          <w:bCs/>
          <w:i w:val="0"/>
          <w:iCs w:val="0"/>
          <w:color w:val="000000" w:themeColor="text1"/>
          <w:sz w:val="24"/>
          <w:szCs w:val="24"/>
        </w:rPr>
        <w:instrText xml:space="preserve"> SEQ Figure \* ARABIC </w:instrText>
      </w:r>
      <w:r w:rsidRPr="00B21297">
        <w:rPr>
          <w:rFonts w:ascii="Times New Roman" w:hAnsi="Times New Roman" w:cs="Times New Roman"/>
          <w:b/>
          <w:bCs/>
          <w:i w:val="0"/>
          <w:iCs w:val="0"/>
          <w:color w:val="000000" w:themeColor="text1"/>
          <w:sz w:val="24"/>
          <w:szCs w:val="24"/>
        </w:rPr>
        <w:fldChar w:fldCharType="separate"/>
      </w:r>
      <w:r w:rsidR="00896FA2">
        <w:rPr>
          <w:rFonts w:ascii="Times New Roman" w:hAnsi="Times New Roman" w:cs="Times New Roman"/>
          <w:b/>
          <w:bCs/>
          <w:i w:val="0"/>
          <w:iCs w:val="0"/>
          <w:noProof/>
          <w:color w:val="000000" w:themeColor="text1"/>
          <w:sz w:val="24"/>
          <w:szCs w:val="24"/>
        </w:rPr>
        <w:t>6</w:t>
      </w:r>
      <w:r w:rsidRPr="00B21297">
        <w:rPr>
          <w:rFonts w:ascii="Times New Roman" w:hAnsi="Times New Roman" w:cs="Times New Roman"/>
          <w:b/>
          <w:bCs/>
          <w:i w:val="0"/>
          <w:iCs w:val="0"/>
          <w:noProof/>
          <w:color w:val="000000" w:themeColor="text1"/>
          <w:sz w:val="24"/>
          <w:szCs w:val="24"/>
        </w:rPr>
        <w:fldChar w:fldCharType="end"/>
      </w:r>
      <w:r w:rsidRPr="00B21297">
        <w:rPr>
          <w:rFonts w:ascii="Times New Roman" w:hAnsi="Times New Roman" w:cs="Times New Roman"/>
          <w:i w:val="0"/>
          <w:iCs w:val="0"/>
          <w:color w:val="000000" w:themeColor="text1"/>
          <w:sz w:val="24"/>
          <w:szCs w:val="24"/>
        </w:rPr>
        <w:t xml:space="preserve">. </w:t>
      </w:r>
      <w:r w:rsidR="00456AAB" w:rsidRPr="00B21297">
        <w:rPr>
          <w:rFonts w:ascii="Times New Roman" w:hAnsi="Times New Roman" w:cs="Times New Roman"/>
          <w:i w:val="0"/>
          <w:iCs w:val="0"/>
          <w:color w:val="000000" w:themeColor="text1"/>
          <w:sz w:val="24"/>
          <w:szCs w:val="24"/>
        </w:rPr>
        <w:t xml:space="preserve">(a) photographs of dilute and concentrated electrolytes and their corresponding salt and solvent. </w:t>
      </w:r>
      <w:r w:rsidR="003765A6" w:rsidRPr="00B21297">
        <w:rPr>
          <w:rFonts w:ascii="Times New Roman" w:hAnsi="Times New Roman" w:cs="Times New Roman"/>
          <w:i w:val="0"/>
          <w:iCs w:val="0"/>
          <w:color w:val="000000" w:themeColor="text1"/>
          <w:sz w:val="24"/>
          <w:szCs w:val="24"/>
        </w:rPr>
        <w:t xml:space="preserve">Flame tests of a (b) commercial dilute electrolyte and (c) </w:t>
      </w:r>
      <w:proofErr w:type="spellStart"/>
      <w:r w:rsidR="003765A6" w:rsidRPr="00B21297">
        <w:rPr>
          <w:rFonts w:ascii="Times New Roman" w:hAnsi="Times New Roman" w:cs="Times New Roman"/>
          <w:i w:val="0"/>
          <w:iCs w:val="0"/>
          <w:color w:val="000000" w:themeColor="text1"/>
          <w:sz w:val="24"/>
          <w:szCs w:val="24"/>
        </w:rPr>
        <w:t>superconcentrated</w:t>
      </w:r>
      <w:proofErr w:type="spellEnd"/>
      <w:r w:rsidR="003765A6" w:rsidRPr="00B21297">
        <w:rPr>
          <w:rFonts w:ascii="Times New Roman" w:hAnsi="Times New Roman" w:cs="Times New Roman"/>
          <w:i w:val="0"/>
          <w:iCs w:val="0"/>
          <w:color w:val="000000" w:themeColor="text1"/>
          <w:sz w:val="24"/>
          <w:szCs w:val="24"/>
        </w:rPr>
        <w:t xml:space="preserve"> electrolyte.  </w:t>
      </w:r>
    </w:p>
    <w:p w14:paraId="5ACF4AF8" w14:textId="4C99D976" w:rsidR="00F65260" w:rsidRDefault="00F545FB" w:rsidP="00811191">
      <w:pPr>
        <w:spacing w:line="288" w:lineRule="auto"/>
        <w:rPr>
          <w:rFonts w:ascii="Times New Roman" w:hAnsi="Times New Roman" w:cs="Times New Roman"/>
        </w:rPr>
      </w:pPr>
      <w:r>
        <w:rPr>
          <w:rFonts w:ascii="Times New Roman" w:hAnsi="Times New Roman" w:cs="Times New Roman"/>
        </w:rPr>
        <w:lastRenderedPageBreak/>
        <w:t>However, the high viscosity of HCE decreases the ionic conductivity and wettability which could contribute to the high resistance during initial cycles</w:t>
      </w:r>
      <w:r w:rsidR="003765A6">
        <w:rPr>
          <w:rFonts w:ascii="Times New Roman" w:hAnsi="Times New Roman" w:cs="Times New Roman"/>
        </w:rPr>
        <w:fldChar w:fldCharType="begin"/>
      </w:r>
      <w:r w:rsidR="003765A6">
        <w:rPr>
          <w:rFonts w:ascii="Times New Roman" w:hAnsi="Times New Roman" w:cs="Times New Roman"/>
        </w:rPr>
        <w:instrText xml:space="preserve"> ADDIN ZOTERO_ITEM CSL_CITATION {"citationID":"DmgsG64T","properties":{"formattedCitation":"\\super 3\\nosupersub{}","plainCitation":"3","noteIndex":0},"citationItems":[{"id":179,"uris":["http://zotero.org/users/10652978/items/CIYJE53Q"],"itemData":{"id":179,"type":"article-journal","container-title":"Nature Energy","DOI":"10.1038/s41560-019-0336-z","ISSN":"2058-7546","issue":"4","journalAbbreviation":"Nat Energy","language":"en","page":"269-280","source":"DOI.org (Crossref)","title":"Advances and issues in developing salt-concentrated battery electrolytes","volume":"4","author":[{"family":"Yamada","given":"Yuki"},{"family":"Wang","given":"Jianhui"},{"family":"Ko","given":"Seongjae"},{"family":"Watanabe","given":"Eriko"},{"family":"Yamada","given":"Atsuo"}],"issued":{"date-parts":[["2019",3,11]]}}}],"schema":"https://github.com/citation-style-language/schema/raw/master/csl-citation.json"} </w:instrText>
      </w:r>
      <w:r w:rsidR="003765A6">
        <w:rPr>
          <w:rFonts w:ascii="Times New Roman" w:hAnsi="Times New Roman" w:cs="Times New Roman"/>
        </w:rPr>
        <w:fldChar w:fldCharType="separate"/>
      </w:r>
      <w:r w:rsidR="003765A6" w:rsidRPr="003765A6">
        <w:rPr>
          <w:rFonts w:ascii="Times New Roman" w:hAnsi="Times New Roman" w:cs="Times New Roman"/>
          <w:kern w:val="0"/>
          <w:vertAlign w:val="superscript"/>
        </w:rPr>
        <w:t>3</w:t>
      </w:r>
      <w:r w:rsidR="003765A6">
        <w:rPr>
          <w:rFonts w:ascii="Times New Roman" w:hAnsi="Times New Roman" w:cs="Times New Roman"/>
        </w:rPr>
        <w:fldChar w:fldCharType="end"/>
      </w:r>
      <w:r>
        <w:rPr>
          <w:rFonts w:ascii="Times New Roman" w:hAnsi="Times New Roman" w:cs="Times New Roman"/>
        </w:rPr>
        <w:t xml:space="preserve">. Furthermore, salt is what costs the most among the electrolyte components. </w:t>
      </w:r>
    </w:p>
    <w:p w14:paraId="505AAF46" w14:textId="6CF3B672" w:rsidR="0085605E" w:rsidRDefault="0085605E" w:rsidP="00811191">
      <w:pPr>
        <w:spacing w:line="288" w:lineRule="auto"/>
        <w:rPr>
          <w:rFonts w:ascii="Times New Roman" w:hAnsi="Times New Roman" w:cs="Times New Roman"/>
        </w:rPr>
      </w:pPr>
    </w:p>
    <w:p w14:paraId="59BCD342" w14:textId="455D91E8" w:rsidR="0085605E" w:rsidRDefault="0085605E" w:rsidP="00811191">
      <w:pPr>
        <w:spacing w:line="288" w:lineRule="auto"/>
        <w:rPr>
          <w:rFonts w:ascii="Times New Roman" w:hAnsi="Times New Roman" w:cs="Times New Roman"/>
        </w:rPr>
      </w:pPr>
      <w:r>
        <w:rPr>
          <w:rFonts w:ascii="Times New Roman" w:hAnsi="Times New Roman" w:cs="Times New Roman"/>
        </w:rPr>
        <w:t xml:space="preserve">Localized (diluted) high concentrated electrolytes (LHCEs) are the systems that were recently introduced to overcome the limitations of HCEs. LHCE includes an inert diluent that does not solvate the lithium ions in the electrolyte system. The diluents are usually </w:t>
      </w:r>
      <w:proofErr w:type="spellStart"/>
      <w:r>
        <w:rPr>
          <w:rFonts w:ascii="Times New Roman" w:hAnsi="Times New Roman" w:cs="Times New Roman"/>
        </w:rPr>
        <w:t>hydrofluoroethers</w:t>
      </w:r>
      <w:proofErr w:type="spellEnd"/>
      <w:r>
        <w:rPr>
          <w:rFonts w:ascii="Times New Roman" w:hAnsi="Times New Roman" w:cs="Times New Roman"/>
        </w:rPr>
        <w:t xml:space="preserve"> (HFEs) such as bis(2,2,2-trifluoroethyl) ether (BTFE) and 1,1,2,2-tetrafluoroethyl-2,2,3,3-tetrafluoropropyl ether (TTE)</w:t>
      </w:r>
      <w:r w:rsidR="00B066B4">
        <w:rPr>
          <w:rFonts w:ascii="Times New Roman" w:hAnsi="Times New Roman" w:cs="Times New Roman"/>
        </w:rPr>
        <w:fldChar w:fldCharType="begin"/>
      </w:r>
      <w:r w:rsidR="00B066B4">
        <w:rPr>
          <w:rFonts w:ascii="Times New Roman" w:hAnsi="Times New Roman" w:cs="Times New Roman"/>
        </w:rPr>
        <w:instrText xml:space="preserve"> ADDIN ZOTERO_ITEM CSL_CITATION {"citationID":"vGzoQKGJ","properties":{"formattedCitation":"\\super 3\\nosupersub{}","plainCitation":"3","noteIndex":0},"citationItems":[{"id":179,"uris":["http://zotero.org/users/10652978/items/CIYJE53Q"],"itemData":{"id":179,"type":"article-journal","container-title":"Nature Energy","DOI":"10.1038/s41560-019-0336-z","ISSN":"2058-7546","issue":"4","journalAbbreviation":"Nat Energy","language":"en","page":"269-280","source":"DOI.org (Crossref)","title":"Advances and issues in developing salt-concentrated battery electrolytes","volume":"4","author":[{"family":"Yamada","given":"Yuki"},{"family":"Wang","given":"Jianhui"},{"family":"Ko","given":"Seongjae"},{"family":"Watanabe","given":"Eriko"},{"family":"Yamada","given":"Atsuo"}],"issued":{"date-parts":[["2019",3,11]]}}}],"schema":"https://github.com/citation-style-language/schema/raw/master/csl-citation.json"} </w:instrText>
      </w:r>
      <w:r w:rsidR="00B066B4">
        <w:rPr>
          <w:rFonts w:ascii="Times New Roman" w:hAnsi="Times New Roman" w:cs="Times New Roman"/>
        </w:rPr>
        <w:fldChar w:fldCharType="separate"/>
      </w:r>
      <w:r w:rsidR="00B066B4" w:rsidRPr="00B066B4">
        <w:rPr>
          <w:rFonts w:ascii="Times New Roman" w:hAnsi="Times New Roman" w:cs="Times New Roman"/>
          <w:kern w:val="0"/>
          <w:vertAlign w:val="superscript"/>
        </w:rPr>
        <w:t>3</w:t>
      </w:r>
      <w:r w:rsidR="00B066B4">
        <w:rPr>
          <w:rFonts w:ascii="Times New Roman" w:hAnsi="Times New Roman" w:cs="Times New Roman"/>
        </w:rPr>
        <w:fldChar w:fldCharType="end"/>
      </w:r>
      <w:r>
        <w:rPr>
          <w:rFonts w:ascii="Times New Roman" w:hAnsi="Times New Roman" w:cs="Times New Roman"/>
        </w:rPr>
        <w:t>. Due to the weak solvation ability of the diluents, the LHCE system consists of locally formed highly concentrated electrolyte structure (</w:t>
      </w:r>
      <w:r w:rsidRPr="00173BEA">
        <w:rPr>
          <w:rFonts w:ascii="Times New Roman" w:hAnsi="Times New Roman" w:cs="Times New Roman"/>
          <w:b/>
          <w:bCs/>
        </w:rPr>
        <w:t xml:space="preserve">Figure </w:t>
      </w:r>
      <w:r w:rsidR="00B21297" w:rsidRPr="00173BEA">
        <w:rPr>
          <w:rFonts w:ascii="Times New Roman" w:hAnsi="Times New Roman" w:cs="Times New Roman"/>
          <w:b/>
          <w:bCs/>
        </w:rPr>
        <w:t>7</w:t>
      </w:r>
      <w:r>
        <w:rPr>
          <w:rFonts w:ascii="Times New Roman" w:hAnsi="Times New Roman" w:cs="Times New Roman"/>
        </w:rPr>
        <w:t xml:space="preserve">). </w:t>
      </w:r>
      <w:r w:rsidR="00EF64EF">
        <w:rPr>
          <w:rFonts w:ascii="Times New Roman" w:hAnsi="Times New Roman" w:cs="Times New Roman"/>
        </w:rPr>
        <w:t>Eventually</w:t>
      </w:r>
      <w:r>
        <w:rPr>
          <w:rFonts w:ascii="Times New Roman" w:hAnsi="Times New Roman" w:cs="Times New Roman"/>
        </w:rPr>
        <w:t>,</w:t>
      </w:r>
      <w:r w:rsidR="00EF64EF">
        <w:rPr>
          <w:rFonts w:ascii="Times New Roman" w:hAnsi="Times New Roman" w:cs="Times New Roman"/>
        </w:rPr>
        <w:t xml:space="preserve"> LHCE resembles HCE system without using as much salt and forming less viscous electrolyte. However, HFEs can be flammable as well which makes LHCE not completely safe. In addition, HFEs are molecules with many fluorinated groups, thus contributing to environmental issue. </w:t>
      </w:r>
      <w:r w:rsidR="005E302B">
        <w:rPr>
          <w:rFonts w:ascii="Times New Roman" w:hAnsi="Times New Roman" w:cs="Times New Roman"/>
        </w:rPr>
        <w:t>Recently, there have been many studies that adapted non-fluorinated molecules as diluents of LHCE</w:t>
      </w:r>
      <w:r w:rsidR="00173BEA">
        <w:rPr>
          <w:rFonts w:ascii="Times New Roman" w:hAnsi="Times New Roman" w:cs="Times New Roman"/>
        </w:rPr>
        <w:fldChar w:fldCharType="begin"/>
      </w:r>
      <w:r w:rsidR="00173BEA">
        <w:rPr>
          <w:rFonts w:ascii="Times New Roman" w:hAnsi="Times New Roman" w:cs="Times New Roman"/>
        </w:rPr>
        <w:instrText xml:space="preserve"> ADDIN ZOTERO_ITEM CSL_CITATION {"citationID":"8p7jH5Ji","properties":{"formattedCitation":"\\super 4\\nosupersub{}","plainCitation":"4","noteIndex":0},"citationItems":[{"id":59,"uris":["http://zotero.org/users/10652978/items/YGUWYCMV"],"itemData":{"id":59,"type":"article-journal","abstract":"Abstract\n            \n              The growth of dendrites on lithium metal electrodes is problematic because it causes irreversible capacity loss and safety hazards. Localised high-concentration electrolytes (LHCEs) can form a mechanically stable solid-electrolyte interphase and prevent uneven growth of lithium metal. However, the optimal physicochemical properties of LHCEs have not been clearly determined which limits the choice to fluorinated non-solvating cosolvents (FNSCs). Also, FNSCs in LHCEs raise environmental concerns, are costly, and may cause low cathodic stability owing to their low lowest unoccupied molecular orbital level, leading to unsatisfactory cycle life. Here, we spectroscopically measured the Li\n              +\n              solvation ability and miscibility of candidate non-fluorinated non-solvating cosolvents (NFNSCs) and identified the suitable physicochemical properties for non-solvating cosolvents. Using our design principle, we proposed NFNSCs that deliver a coulombic efficiency up to 99.0% over 1400 cycles. NMR spectra revealed that the designed NFNSCs were highly stable in electrolytes during extended cycles. In addition, solvation structure analysis by Raman spectroscopy and theoretical calculation of Li\n              +\n              binding energy suggested that the low ability of these NFNSCs to solvate Li\n              +\n              originates from the aromatic ring that allows delocalisation of electron pairs on the oxygen atom.","container-title":"Nature Communications","DOI":"10.1038/s41467-022-32192-5","ISSN":"2041-1723","issue":"1","journalAbbreviation":"Nat Commun","language":"en","page":"4538","source":"DOI.org (Crossref)","title":"Non-fluorinated non-solvating cosolvent enabling superior performance of lithium metal negative electrode battery","volume":"13","author":[{"family":"Moon","given":"Junyeob"},{"family":"Kim","given":"Dong Ok"},{"family":"Bekaert","given":"Lieven"},{"family":"Song","given":"Munsoo"},{"family":"Chung","given":"Jinkyu"},{"family":"Lee","given":"Danwon"},{"family":"Hubin","given":"Annick"},{"family":"Lim","given":"Jongwoo"}],"issued":{"date-parts":[["2022",8,4]]}}}],"schema":"https://github.com/citation-style-language/schema/raw/master/csl-citation.json"} </w:instrText>
      </w:r>
      <w:r w:rsidR="00173BEA">
        <w:rPr>
          <w:rFonts w:ascii="Times New Roman" w:hAnsi="Times New Roman" w:cs="Times New Roman"/>
        </w:rPr>
        <w:fldChar w:fldCharType="separate"/>
      </w:r>
      <w:r w:rsidR="00173BEA" w:rsidRPr="00173BEA">
        <w:rPr>
          <w:rFonts w:ascii="Times New Roman" w:hAnsi="Times New Roman" w:cs="Times New Roman"/>
          <w:kern w:val="0"/>
          <w:vertAlign w:val="superscript"/>
        </w:rPr>
        <w:t>4</w:t>
      </w:r>
      <w:r w:rsidR="00173BEA">
        <w:rPr>
          <w:rFonts w:ascii="Times New Roman" w:hAnsi="Times New Roman" w:cs="Times New Roman"/>
        </w:rPr>
        <w:fldChar w:fldCharType="end"/>
      </w:r>
      <w:r w:rsidR="00173BEA">
        <w:rPr>
          <w:rFonts w:ascii="Times New Roman" w:hAnsi="Times New Roman" w:cs="Times New Roman"/>
        </w:rPr>
        <w:t xml:space="preserve">. </w:t>
      </w:r>
      <w:r w:rsidR="005E302B">
        <w:rPr>
          <w:rFonts w:ascii="Times New Roman" w:hAnsi="Times New Roman" w:cs="Times New Roman"/>
        </w:rPr>
        <w:t xml:space="preserve">Development of non-fluorinated solvents that are highly efficient in forming LHCE should be pursued further. </w:t>
      </w:r>
    </w:p>
    <w:p w14:paraId="66C1A1B6" w14:textId="77777777" w:rsidR="00B066B4" w:rsidRDefault="0085605E" w:rsidP="00B066B4">
      <w:pPr>
        <w:keepNext/>
        <w:spacing w:line="288" w:lineRule="auto"/>
      </w:pPr>
      <w:r w:rsidRPr="0085605E">
        <w:rPr>
          <w:rFonts w:ascii="Times New Roman" w:hAnsi="Times New Roman" w:cs="Times New Roman"/>
          <w:noProof/>
        </w:rPr>
        <w:drawing>
          <wp:inline distT="0" distB="0" distL="0" distR="0" wp14:anchorId="36177EE9" wp14:editId="1E788CCC">
            <wp:extent cx="5943600" cy="2174875"/>
            <wp:effectExtent l="0" t="0" r="0" b="0"/>
            <wp:docPr id="1183838820" name="Picture 1" descr="A diagram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838820" name="Picture 1" descr="A diagram of a molecule&#10;&#10;Description automatically generated"/>
                    <pic:cNvPicPr/>
                  </pic:nvPicPr>
                  <pic:blipFill>
                    <a:blip r:embed="rId12"/>
                    <a:stretch>
                      <a:fillRect/>
                    </a:stretch>
                  </pic:blipFill>
                  <pic:spPr>
                    <a:xfrm>
                      <a:off x="0" y="0"/>
                      <a:ext cx="5943600" cy="2174875"/>
                    </a:xfrm>
                    <a:prstGeom prst="rect">
                      <a:avLst/>
                    </a:prstGeom>
                  </pic:spPr>
                </pic:pic>
              </a:graphicData>
            </a:graphic>
          </wp:inline>
        </w:drawing>
      </w:r>
    </w:p>
    <w:p w14:paraId="06327B9C" w14:textId="68C5A0E2" w:rsidR="0085605E" w:rsidRDefault="00B066B4" w:rsidP="00B066B4">
      <w:pPr>
        <w:pStyle w:val="Caption"/>
        <w:rPr>
          <w:rFonts w:ascii="Times New Roman" w:hAnsi="Times New Roman" w:cs="Times New Roman"/>
          <w:i w:val="0"/>
          <w:iCs w:val="0"/>
          <w:color w:val="000000" w:themeColor="text1"/>
          <w:sz w:val="24"/>
          <w:szCs w:val="24"/>
        </w:rPr>
      </w:pPr>
      <w:r w:rsidRPr="00B066B4">
        <w:rPr>
          <w:rFonts w:ascii="Times New Roman" w:hAnsi="Times New Roman" w:cs="Times New Roman"/>
          <w:b/>
          <w:bCs/>
          <w:i w:val="0"/>
          <w:iCs w:val="0"/>
          <w:color w:val="000000" w:themeColor="text1"/>
          <w:sz w:val="24"/>
          <w:szCs w:val="24"/>
        </w:rPr>
        <w:t xml:space="preserve">Figure </w:t>
      </w:r>
      <w:r w:rsidRPr="00B066B4">
        <w:rPr>
          <w:rFonts w:ascii="Times New Roman" w:hAnsi="Times New Roman" w:cs="Times New Roman"/>
          <w:b/>
          <w:bCs/>
          <w:i w:val="0"/>
          <w:iCs w:val="0"/>
          <w:color w:val="000000" w:themeColor="text1"/>
          <w:sz w:val="24"/>
          <w:szCs w:val="24"/>
        </w:rPr>
        <w:fldChar w:fldCharType="begin"/>
      </w:r>
      <w:r w:rsidRPr="00B066B4">
        <w:rPr>
          <w:rFonts w:ascii="Times New Roman" w:hAnsi="Times New Roman" w:cs="Times New Roman"/>
          <w:b/>
          <w:bCs/>
          <w:i w:val="0"/>
          <w:iCs w:val="0"/>
          <w:color w:val="000000" w:themeColor="text1"/>
          <w:sz w:val="24"/>
          <w:szCs w:val="24"/>
        </w:rPr>
        <w:instrText xml:space="preserve"> SEQ Figure \* ARABIC </w:instrText>
      </w:r>
      <w:r w:rsidRPr="00B066B4">
        <w:rPr>
          <w:rFonts w:ascii="Times New Roman" w:hAnsi="Times New Roman" w:cs="Times New Roman"/>
          <w:b/>
          <w:bCs/>
          <w:i w:val="0"/>
          <w:iCs w:val="0"/>
          <w:color w:val="000000" w:themeColor="text1"/>
          <w:sz w:val="24"/>
          <w:szCs w:val="24"/>
        </w:rPr>
        <w:fldChar w:fldCharType="separate"/>
      </w:r>
      <w:r w:rsidR="00896FA2">
        <w:rPr>
          <w:rFonts w:ascii="Times New Roman" w:hAnsi="Times New Roman" w:cs="Times New Roman"/>
          <w:b/>
          <w:bCs/>
          <w:i w:val="0"/>
          <w:iCs w:val="0"/>
          <w:noProof/>
          <w:color w:val="000000" w:themeColor="text1"/>
          <w:sz w:val="24"/>
          <w:szCs w:val="24"/>
        </w:rPr>
        <w:t>7</w:t>
      </w:r>
      <w:r w:rsidRPr="00B066B4">
        <w:rPr>
          <w:rFonts w:ascii="Times New Roman" w:hAnsi="Times New Roman" w:cs="Times New Roman"/>
          <w:b/>
          <w:bCs/>
          <w:i w:val="0"/>
          <w:iCs w:val="0"/>
          <w:color w:val="000000" w:themeColor="text1"/>
          <w:sz w:val="24"/>
          <w:szCs w:val="24"/>
        </w:rPr>
        <w:fldChar w:fldCharType="end"/>
      </w:r>
      <w:r w:rsidRPr="00B066B4">
        <w:rPr>
          <w:rFonts w:ascii="Times New Roman" w:hAnsi="Times New Roman" w:cs="Times New Roman"/>
          <w:b/>
          <w:bCs/>
          <w:i w:val="0"/>
          <w:iCs w:val="0"/>
          <w:color w:val="000000" w:themeColor="text1"/>
          <w:sz w:val="24"/>
          <w:szCs w:val="24"/>
        </w:rPr>
        <w:t>.</w:t>
      </w:r>
      <w:r w:rsidRPr="00B066B4">
        <w:rPr>
          <w:rFonts w:ascii="Times New Roman" w:hAnsi="Times New Roman" w:cs="Times New Roman"/>
          <w:i w:val="0"/>
          <w:iCs w:val="0"/>
          <w:color w:val="000000" w:themeColor="text1"/>
          <w:sz w:val="24"/>
          <w:szCs w:val="24"/>
        </w:rPr>
        <w:t xml:space="preserve"> Schematics of solvation structures of the three electrolytes: conventional electrolyte, concentrated electrolyte, and diluted concentrated electrolyte</w:t>
      </w:r>
    </w:p>
    <w:p w14:paraId="2B5959F0" w14:textId="77777777" w:rsidR="00B066B4" w:rsidRPr="00B066B4" w:rsidRDefault="00B066B4" w:rsidP="00B066B4"/>
    <w:p w14:paraId="315BC315" w14:textId="77777777" w:rsidR="00811191" w:rsidRDefault="00811191" w:rsidP="00811191">
      <w:pPr>
        <w:spacing w:line="288" w:lineRule="auto"/>
        <w:rPr>
          <w:rFonts w:ascii="Times New Roman" w:hAnsi="Times New Roman" w:cs="Times New Roman"/>
        </w:rPr>
      </w:pPr>
      <w:r>
        <w:rPr>
          <w:rFonts w:ascii="Times New Roman" w:hAnsi="Times New Roman" w:cs="Times New Roman"/>
        </w:rPr>
        <w:t>IONIC LIQUIDS (ILs)</w:t>
      </w:r>
    </w:p>
    <w:p w14:paraId="19804EBF" w14:textId="29C6F873" w:rsidR="00811191" w:rsidRDefault="00811191" w:rsidP="00811191">
      <w:pPr>
        <w:spacing w:line="288" w:lineRule="auto"/>
        <w:rPr>
          <w:rFonts w:ascii="Times New Roman" w:hAnsi="Times New Roman" w:cs="Times New Roman"/>
        </w:rPr>
      </w:pPr>
      <w:r>
        <w:rPr>
          <w:rFonts w:ascii="Times New Roman" w:hAnsi="Times New Roman" w:cs="Times New Roman"/>
        </w:rPr>
        <w:t>Ionic liquids are molten salts with melting points below 100 ºC. The salts are composed of organic cations and inorganic/organic anion. The weak coulombic interaction between ions is what makes the melting point low enough. Anions and cations can be freely combined depending on their applications which makes them very versatile</w:t>
      </w:r>
      <w:r w:rsidR="005E302B">
        <w:rPr>
          <w:rFonts w:ascii="Times New Roman" w:hAnsi="Times New Roman" w:cs="Times New Roman"/>
        </w:rPr>
        <w:t xml:space="preserve"> (</w:t>
      </w:r>
      <w:r w:rsidR="00B21297">
        <w:rPr>
          <w:rFonts w:ascii="Times New Roman" w:hAnsi="Times New Roman" w:cs="Times New Roman"/>
        </w:rPr>
        <w:t>Figure 8</w:t>
      </w:r>
      <w:r w:rsidR="005E302B">
        <w:rPr>
          <w:rFonts w:ascii="Times New Roman" w:hAnsi="Times New Roman" w:cs="Times New Roman"/>
        </w:rPr>
        <w:t>)</w:t>
      </w:r>
      <w:r w:rsidR="00FF33AB">
        <w:rPr>
          <w:rFonts w:ascii="Times New Roman" w:hAnsi="Times New Roman" w:cs="Times New Roman"/>
        </w:rPr>
        <w:fldChar w:fldCharType="begin"/>
      </w:r>
      <w:r w:rsidR="00173BEA">
        <w:rPr>
          <w:rFonts w:ascii="Times New Roman" w:hAnsi="Times New Roman" w:cs="Times New Roman"/>
        </w:rPr>
        <w:instrText xml:space="preserve"> ADDIN ZOTERO_ITEM CSL_CITATION {"citationID":"HP91rZe8","properties":{"formattedCitation":"\\super 5\\nosupersub{}","plainCitation":"5","noteIndex":0},"citationItems":[{"id":174,"uris":["http://zotero.org/users/10652978/items/AGMFLIXE"],"itemData":{"id":174,"type":"article-journal","abstract":"The pursuit of high energy density has promoted the development of high-performance lithium metal batteries. However, it faces a serious security problem. Ionic liquids have attracted great attention due to their high ionic conductivity, non-ﬂammability, and the properties of promoting the formation of stable SEI ﬁlms. Deeply understanding the problems existing in lithium metal batteries and the role of ionic liquids in them is of great signiﬁcance for improving the performance of lithium metal batteries. This article reviews the effects of the molecular structure of ionic liquids on ionic conductivity, Li+ ion transference number, electrochemical stability window, and lithium metal anode/electrolyte interface, as well as the application of ionic liquids in Li-high voltage cathode batteries, Li-O2 batteries and Li-S batteries. The molecular design, composition and polymerization will be the main strategies for the future development of ionic liquid-based electrolytes for high performance lithium metal battery.","container-title":"Journal of Energy Chemistry","DOI":"10.1016/j.jechem.2020.11.017","ISSN":"20954956","journalAbbreviation":"Journal of Energy Chemistry","language":"en","page":"320-333","source":"DOI.org (Crossref)","title":"Ionic liquids for high performance lithium metal batteries","volume":"59","author":[{"family":"Liu","given":"Kexin"},{"family":"Wang","given":"Zhuyi"},{"family":"Shi","given":"Liyi"},{"family":"Jungsuttiwong","given":"Siriporn"},{"family":"Yuan","given":"Shuai"}],"issued":{"date-parts":[["2021",8]]}}}],"schema":"https://github.com/citation-style-language/schema/raw/master/csl-citation.json"} </w:instrText>
      </w:r>
      <w:r w:rsidR="00FF33AB">
        <w:rPr>
          <w:rFonts w:ascii="Times New Roman" w:hAnsi="Times New Roman" w:cs="Times New Roman"/>
        </w:rPr>
        <w:fldChar w:fldCharType="separate"/>
      </w:r>
      <w:r w:rsidR="00173BEA" w:rsidRPr="00173BEA">
        <w:rPr>
          <w:rFonts w:ascii="Times New Roman" w:hAnsi="Times New Roman" w:cs="Times New Roman"/>
          <w:kern w:val="0"/>
          <w:vertAlign w:val="superscript"/>
        </w:rPr>
        <w:t>5</w:t>
      </w:r>
      <w:r w:rsidR="00FF33AB">
        <w:rPr>
          <w:rFonts w:ascii="Times New Roman" w:hAnsi="Times New Roman" w:cs="Times New Roman"/>
        </w:rPr>
        <w:fldChar w:fldCharType="end"/>
      </w:r>
      <w:r>
        <w:rPr>
          <w:rFonts w:ascii="Times New Roman" w:hAnsi="Times New Roman" w:cs="Times New Roman"/>
        </w:rPr>
        <w:t xml:space="preserve">. </w:t>
      </w:r>
      <w:r w:rsidR="005E302B">
        <w:rPr>
          <w:rFonts w:ascii="Times New Roman" w:hAnsi="Times New Roman" w:cs="Times New Roman"/>
        </w:rPr>
        <w:t>They demonstrate high thermal stability which can be attributed to the low vapor pressure</w:t>
      </w:r>
      <w:r w:rsidR="00FF33AB">
        <w:rPr>
          <w:rFonts w:ascii="Times New Roman" w:hAnsi="Times New Roman" w:cs="Times New Roman"/>
        </w:rPr>
        <w:t>.</w:t>
      </w:r>
      <w:r w:rsidR="005E302B">
        <w:rPr>
          <w:rFonts w:ascii="Times New Roman" w:hAnsi="Times New Roman" w:cs="Times New Roman"/>
        </w:rPr>
        <w:t xml:space="preserve"> </w:t>
      </w:r>
      <w:r w:rsidR="00F06101">
        <w:rPr>
          <w:rFonts w:ascii="Times New Roman" w:hAnsi="Times New Roman" w:cs="Times New Roman"/>
        </w:rPr>
        <w:t>Yang et al. studied physicochemical properties of pyrrolidinium-based ILs and compared them with a conventional carbonate-based electrolyte</w:t>
      </w:r>
      <w:r w:rsidR="00FF33AB">
        <w:rPr>
          <w:rFonts w:ascii="Times New Roman" w:hAnsi="Times New Roman" w:cs="Times New Roman"/>
        </w:rPr>
        <w:fldChar w:fldCharType="begin"/>
      </w:r>
      <w:r w:rsidR="00173BEA">
        <w:rPr>
          <w:rFonts w:ascii="Times New Roman" w:hAnsi="Times New Roman" w:cs="Times New Roman"/>
        </w:rPr>
        <w:instrText xml:space="preserve"> ADDIN ZOTERO_ITEM CSL_CITATION {"citationID":"M39cpmQK","properties":{"formattedCitation":"\\super 6\\nosupersub{}","plainCitation":"6","noteIndex":0},"citationItems":[{"id":181,"uris":["http://zotero.org/users/10652978/items/N29MRTQU"],"itemData":{"id":181,"type":"article-journal","container-title":"Electrochimica Acta","DOI":"10.1016/j.electacta.2014.10.001","ISSN":"00134686","journalAbbreviation":"Electrochimica Acta","language":"en","page":"39-45","source":"DOI.org (Crossref)","title":"Pyrrolidinium-based ionic liquid electrolyte with organic additive and LiTFSI for high-safety lithium-ion batteries","volume":"148","author":[{"family":"Yang","given":"Binbin"},{"family":"Li","given":"Cuihua"},{"family":"Zhou","given":"Junhui"},{"family":"Liu","given":"Jianhong"},{"family":"Zhang","given":"Qianling"}],"issued":{"date-parts":[["2014",12]]}}}],"schema":"https://github.com/citation-style-language/schema/raw/master/csl-citation.json"} </w:instrText>
      </w:r>
      <w:r w:rsidR="00FF33AB">
        <w:rPr>
          <w:rFonts w:ascii="Times New Roman" w:hAnsi="Times New Roman" w:cs="Times New Roman"/>
        </w:rPr>
        <w:fldChar w:fldCharType="separate"/>
      </w:r>
      <w:r w:rsidR="00173BEA" w:rsidRPr="00173BEA">
        <w:rPr>
          <w:rFonts w:ascii="Times New Roman" w:hAnsi="Times New Roman" w:cs="Times New Roman"/>
          <w:kern w:val="0"/>
          <w:vertAlign w:val="superscript"/>
        </w:rPr>
        <w:t>6</w:t>
      </w:r>
      <w:r w:rsidR="00FF33AB">
        <w:rPr>
          <w:rFonts w:ascii="Times New Roman" w:hAnsi="Times New Roman" w:cs="Times New Roman"/>
        </w:rPr>
        <w:fldChar w:fldCharType="end"/>
      </w:r>
      <w:r w:rsidR="00F06101">
        <w:rPr>
          <w:rFonts w:ascii="Times New Roman" w:hAnsi="Times New Roman" w:cs="Times New Roman"/>
        </w:rPr>
        <w:t>. The IL system that was tested was N-propyl-N-</w:t>
      </w:r>
      <w:proofErr w:type="spellStart"/>
      <w:r w:rsidR="00F06101">
        <w:rPr>
          <w:rFonts w:ascii="Times New Roman" w:hAnsi="Times New Roman" w:cs="Times New Roman"/>
        </w:rPr>
        <w:t>methylpyrrolidiniumbis</w:t>
      </w:r>
      <w:proofErr w:type="spellEnd"/>
      <w:r w:rsidR="00F06101">
        <w:rPr>
          <w:rFonts w:ascii="Times New Roman" w:hAnsi="Times New Roman" w:cs="Times New Roman"/>
        </w:rPr>
        <w:t xml:space="preserve"> (</w:t>
      </w:r>
      <w:proofErr w:type="spellStart"/>
      <w:r w:rsidR="00F06101">
        <w:rPr>
          <w:rFonts w:ascii="Times New Roman" w:hAnsi="Times New Roman" w:cs="Times New Roman"/>
        </w:rPr>
        <w:t>trifluoromethanesulfonyl</w:t>
      </w:r>
      <w:proofErr w:type="spellEnd"/>
      <w:r w:rsidR="00F06101">
        <w:rPr>
          <w:rFonts w:ascii="Times New Roman" w:hAnsi="Times New Roman" w:cs="Times New Roman"/>
        </w:rPr>
        <w:t>) imide (PYR</w:t>
      </w:r>
      <w:r w:rsidR="00F06101" w:rsidRPr="00F06101">
        <w:rPr>
          <w:rFonts w:ascii="Times New Roman" w:hAnsi="Times New Roman" w:cs="Times New Roman"/>
          <w:vertAlign w:val="subscript"/>
        </w:rPr>
        <w:t>13</w:t>
      </w:r>
      <w:r w:rsidR="00F06101">
        <w:rPr>
          <w:rFonts w:ascii="Times New Roman" w:hAnsi="Times New Roman" w:cs="Times New Roman"/>
        </w:rPr>
        <w:t>TFSI) in EC/DMC based electrolyte.</w:t>
      </w:r>
      <w:r w:rsidR="00204628">
        <w:rPr>
          <w:rFonts w:ascii="Times New Roman" w:hAnsi="Times New Roman" w:cs="Times New Roman"/>
        </w:rPr>
        <w:t xml:space="preserve"> Different types of electrolytes were made with varying concentrations of PYR</w:t>
      </w:r>
      <w:r w:rsidR="00204628" w:rsidRPr="00F06101">
        <w:rPr>
          <w:rFonts w:ascii="Times New Roman" w:hAnsi="Times New Roman" w:cs="Times New Roman"/>
          <w:vertAlign w:val="subscript"/>
        </w:rPr>
        <w:t>13</w:t>
      </w:r>
      <w:r w:rsidR="00204628">
        <w:rPr>
          <w:rFonts w:ascii="Times New Roman" w:hAnsi="Times New Roman" w:cs="Times New Roman"/>
        </w:rPr>
        <w:t xml:space="preserve">TFSI. The </w:t>
      </w:r>
      <w:r w:rsidR="00204628">
        <w:rPr>
          <w:rFonts w:ascii="Times New Roman" w:hAnsi="Times New Roman" w:cs="Times New Roman"/>
        </w:rPr>
        <w:lastRenderedPageBreak/>
        <w:t xml:space="preserve">flammability test supported that ILs have good thermal stability. Specifically, thermal gravimetric analysis (TGA) exhibited two step decomposition where earlier decomposition can be attributed to the EC/DMC organic solvents (Figure </w:t>
      </w:r>
      <w:r w:rsidR="00B21297">
        <w:rPr>
          <w:rFonts w:ascii="Times New Roman" w:hAnsi="Times New Roman" w:cs="Times New Roman"/>
        </w:rPr>
        <w:t>9</w:t>
      </w:r>
      <w:r w:rsidR="00204628">
        <w:rPr>
          <w:rFonts w:ascii="Times New Roman" w:hAnsi="Times New Roman" w:cs="Times New Roman"/>
        </w:rPr>
        <w:t xml:space="preserve">). </w:t>
      </w:r>
      <w:r w:rsidR="00F06101">
        <w:rPr>
          <w:rFonts w:ascii="Times New Roman" w:hAnsi="Times New Roman" w:cs="Times New Roman"/>
        </w:rPr>
        <w:t>which was compared against Generally</w:t>
      </w:r>
      <w:r w:rsidR="005E302B">
        <w:rPr>
          <w:rFonts w:ascii="Times New Roman" w:hAnsi="Times New Roman" w:cs="Times New Roman"/>
        </w:rPr>
        <w:t xml:space="preserve">, ILs have superior ionic conductivity and electrochemical stability because they are </w:t>
      </w:r>
      <w:r w:rsidR="00F06101">
        <w:rPr>
          <w:rFonts w:ascii="Times New Roman" w:hAnsi="Times New Roman" w:cs="Times New Roman"/>
        </w:rPr>
        <w:t xml:space="preserve">completely composed of anions and cations. However, their properties can be tuned using different types of anion or cation pairings. </w:t>
      </w:r>
    </w:p>
    <w:p w14:paraId="53D689B4" w14:textId="77777777" w:rsidR="00B21297" w:rsidRDefault="00B21297" w:rsidP="00811191">
      <w:pPr>
        <w:spacing w:line="288" w:lineRule="auto"/>
        <w:rPr>
          <w:rFonts w:ascii="Times New Roman" w:hAnsi="Times New Roman" w:cs="Times New Roman"/>
        </w:rPr>
      </w:pPr>
    </w:p>
    <w:p w14:paraId="54FA7E9E" w14:textId="77777777" w:rsidR="00FF33AB" w:rsidRDefault="005E302B" w:rsidP="00FF33AB">
      <w:pPr>
        <w:keepNext/>
        <w:spacing w:line="288" w:lineRule="auto"/>
        <w:jc w:val="center"/>
      </w:pPr>
      <w:r w:rsidRPr="005E302B">
        <w:rPr>
          <w:rFonts w:ascii="Times New Roman" w:hAnsi="Times New Roman" w:cs="Times New Roman"/>
          <w:noProof/>
        </w:rPr>
        <w:drawing>
          <wp:inline distT="0" distB="0" distL="0" distR="0" wp14:anchorId="122A46FA" wp14:editId="5A3730F2">
            <wp:extent cx="4292600" cy="3849342"/>
            <wp:effectExtent l="0" t="0" r="0" b="0"/>
            <wp:docPr id="1503656470" name="Picture 1" descr="A group of chemical formu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656470" name="Picture 1" descr="A group of chemical formulas&#10;&#10;Description automatically generated"/>
                    <pic:cNvPicPr/>
                  </pic:nvPicPr>
                  <pic:blipFill>
                    <a:blip r:embed="rId13"/>
                    <a:stretch>
                      <a:fillRect/>
                    </a:stretch>
                  </pic:blipFill>
                  <pic:spPr>
                    <a:xfrm>
                      <a:off x="0" y="0"/>
                      <a:ext cx="4304263" cy="3859801"/>
                    </a:xfrm>
                    <a:prstGeom prst="rect">
                      <a:avLst/>
                    </a:prstGeom>
                  </pic:spPr>
                </pic:pic>
              </a:graphicData>
            </a:graphic>
          </wp:inline>
        </w:drawing>
      </w:r>
    </w:p>
    <w:p w14:paraId="4018B1B5" w14:textId="4A967D35" w:rsidR="005E302B" w:rsidRPr="00FF33AB" w:rsidRDefault="00FF33AB" w:rsidP="00FF33AB">
      <w:pPr>
        <w:pStyle w:val="Caption"/>
        <w:rPr>
          <w:rFonts w:ascii="Times New Roman" w:hAnsi="Times New Roman" w:cs="Times New Roman"/>
          <w:i w:val="0"/>
          <w:iCs w:val="0"/>
          <w:color w:val="000000" w:themeColor="text1"/>
          <w:sz w:val="24"/>
          <w:szCs w:val="24"/>
        </w:rPr>
      </w:pPr>
      <w:r w:rsidRPr="00173BEA">
        <w:rPr>
          <w:rFonts w:ascii="Times New Roman" w:hAnsi="Times New Roman" w:cs="Times New Roman"/>
          <w:b/>
          <w:bCs/>
          <w:i w:val="0"/>
          <w:iCs w:val="0"/>
          <w:color w:val="000000" w:themeColor="text1"/>
          <w:sz w:val="24"/>
          <w:szCs w:val="24"/>
        </w:rPr>
        <w:t xml:space="preserve">Figure </w:t>
      </w:r>
      <w:r w:rsidRPr="00173BEA">
        <w:rPr>
          <w:rFonts w:ascii="Times New Roman" w:hAnsi="Times New Roman" w:cs="Times New Roman"/>
          <w:b/>
          <w:bCs/>
          <w:i w:val="0"/>
          <w:iCs w:val="0"/>
          <w:color w:val="000000" w:themeColor="text1"/>
          <w:sz w:val="24"/>
          <w:szCs w:val="24"/>
        </w:rPr>
        <w:fldChar w:fldCharType="begin"/>
      </w:r>
      <w:r w:rsidRPr="00173BEA">
        <w:rPr>
          <w:rFonts w:ascii="Times New Roman" w:hAnsi="Times New Roman" w:cs="Times New Roman"/>
          <w:b/>
          <w:bCs/>
          <w:i w:val="0"/>
          <w:iCs w:val="0"/>
          <w:color w:val="000000" w:themeColor="text1"/>
          <w:sz w:val="24"/>
          <w:szCs w:val="24"/>
        </w:rPr>
        <w:instrText xml:space="preserve"> SEQ Figure \* ARABIC </w:instrText>
      </w:r>
      <w:r w:rsidRPr="00173BEA">
        <w:rPr>
          <w:rFonts w:ascii="Times New Roman" w:hAnsi="Times New Roman" w:cs="Times New Roman"/>
          <w:b/>
          <w:bCs/>
          <w:i w:val="0"/>
          <w:iCs w:val="0"/>
          <w:color w:val="000000" w:themeColor="text1"/>
          <w:sz w:val="24"/>
          <w:szCs w:val="24"/>
        </w:rPr>
        <w:fldChar w:fldCharType="separate"/>
      </w:r>
      <w:r w:rsidR="00896FA2">
        <w:rPr>
          <w:rFonts w:ascii="Times New Roman" w:hAnsi="Times New Roman" w:cs="Times New Roman"/>
          <w:b/>
          <w:bCs/>
          <w:i w:val="0"/>
          <w:iCs w:val="0"/>
          <w:noProof/>
          <w:color w:val="000000" w:themeColor="text1"/>
          <w:sz w:val="24"/>
          <w:szCs w:val="24"/>
        </w:rPr>
        <w:t>8</w:t>
      </w:r>
      <w:r w:rsidRPr="00173BEA">
        <w:rPr>
          <w:rFonts w:ascii="Times New Roman" w:hAnsi="Times New Roman" w:cs="Times New Roman"/>
          <w:b/>
          <w:bCs/>
          <w:i w:val="0"/>
          <w:iCs w:val="0"/>
          <w:color w:val="000000" w:themeColor="text1"/>
          <w:sz w:val="24"/>
          <w:szCs w:val="24"/>
        </w:rPr>
        <w:fldChar w:fldCharType="end"/>
      </w:r>
      <w:r w:rsidRPr="00FF33AB">
        <w:rPr>
          <w:rFonts w:ascii="Times New Roman" w:hAnsi="Times New Roman" w:cs="Times New Roman"/>
          <w:i w:val="0"/>
          <w:iCs w:val="0"/>
          <w:color w:val="000000" w:themeColor="text1"/>
          <w:sz w:val="24"/>
          <w:szCs w:val="24"/>
        </w:rPr>
        <w:t xml:space="preserve">. Anions and cations of the molten salts used for </w:t>
      </w:r>
      <w:proofErr w:type="gramStart"/>
      <w:r w:rsidRPr="00FF33AB">
        <w:rPr>
          <w:rFonts w:ascii="Times New Roman" w:hAnsi="Times New Roman" w:cs="Times New Roman"/>
          <w:i w:val="0"/>
          <w:iCs w:val="0"/>
          <w:color w:val="000000" w:themeColor="text1"/>
          <w:sz w:val="24"/>
          <w:szCs w:val="24"/>
        </w:rPr>
        <w:t>ILs</w:t>
      </w:r>
      <w:proofErr w:type="gramEnd"/>
    </w:p>
    <w:p w14:paraId="0DE587F6" w14:textId="47C450A0" w:rsidR="00FF33AB" w:rsidRDefault="005E302B" w:rsidP="00FF33AB">
      <w:pPr>
        <w:keepNext/>
      </w:pPr>
      <w:r>
        <w:rPr>
          <w:rFonts w:ascii="Times New Roman" w:hAnsi="Times New Roman" w:cs="Times New Roman"/>
        </w:rPr>
        <w:br w:type="page"/>
      </w:r>
      <w:r w:rsidR="00FF33AB" w:rsidRPr="00FF33AB">
        <w:rPr>
          <w:rFonts w:ascii="Times New Roman" w:hAnsi="Times New Roman" w:cs="Times New Roman"/>
          <w:noProof/>
        </w:rPr>
        <w:lastRenderedPageBreak/>
        <w:drawing>
          <wp:inline distT="0" distB="0" distL="0" distR="0" wp14:anchorId="5155F51F" wp14:editId="4351DEBD">
            <wp:extent cx="5943600" cy="4001135"/>
            <wp:effectExtent l="0" t="0" r="0" b="0"/>
            <wp:docPr id="600806613" name="Picture 1" descr="A diagram of a fl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806613" name="Picture 1" descr="A diagram of a flame&#10;&#10;Description automatically generated with medium confidence"/>
                    <pic:cNvPicPr/>
                  </pic:nvPicPr>
                  <pic:blipFill>
                    <a:blip r:embed="rId14"/>
                    <a:stretch>
                      <a:fillRect/>
                    </a:stretch>
                  </pic:blipFill>
                  <pic:spPr>
                    <a:xfrm>
                      <a:off x="0" y="0"/>
                      <a:ext cx="5943600" cy="4001135"/>
                    </a:xfrm>
                    <a:prstGeom prst="rect">
                      <a:avLst/>
                    </a:prstGeom>
                  </pic:spPr>
                </pic:pic>
              </a:graphicData>
            </a:graphic>
          </wp:inline>
        </w:drawing>
      </w:r>
    </w:p>
    <w:p w14:paraId="2EC3BA0B" w14:textId="0F533679" w:rsidR="005E302B" w:rsidRPr="00BA109E" w:rsidRDefault="00FF33AB" w:rsidP="00FF33AB">
      <w:pPr>
        <w:pStyle w:val="Caption"/>
        <w:rPr>
          <w:rFonts w:ascii="Times New Roman" w:hAnsi="Times New Roman" w:cs="Times New Roman"/>
          <w:i w:val="0"/>
          <w:iCs w:val="0"/>
          <w:color w:val="000000" w:themeColor="text1"/>
          <w:sz w:val="24"/>
          <w:szCs w:val="24"/>
        </w:rPr>
      </w:pPr>
      <w:r w:rsidRPr="00BA109E">
        <w:rPr>
          <w:rFonts w:ascii="Times New Roman" w:hAnsi="Times New Roman" w:cs="Times New Roman"/>
          <w:b/>
          <w:bCs/>
          <w:i w:val="0"/>
          <w:iCs w:val="0"/>
          <w:color w:val="000000" w:themeColor="text1"/>
          <w:sz w:val="24"/>
          <w:szCs w:val="24"/>
        </w:rPr>
        <w:t xml:space="preserve">Figure </w:t>
      </w:r>
      <w:r w:rsidRPr="00BA109E">
        <w:rPr>
          <w:rFonts w:ascii="Times New Roman" w:hAnsi="Times New Roman" w:cs="Times New Roman"/>
          <w:b/>
          <w:bCs/>
          <w:i w:val="0"/>
          <w:iCs w:val="0"/>
          <w:color w:val="000000" w:themeColor="text1"/>
          <w:sz w:val="24"/>
          <w:szCs w:val="24"/>
        </w:rPr>
        <w:fldChar w:fldCharType="begin"/>
      </w:r>
      <w:r w:rsidRPr="00BA109E">
        <w:rPr>
          <w:rFonts w:ascii="Times New Roman" w:hAnsi="Times New Roman" w:cs="Times New Roman"/>
          <w:b/>
          <w:bCs/>
          <w:i w:val="0"/>
          <w:iCs w:val="0"/>
          <w:color w:val="000000" w:themeColor="text1"/>
          <w:sz w:val="24"/>
          <w:szCs w:val="24"/>
        </w:rPr>
        <w:instrText xml:space="preserve"> SEQ Figure \* ARABIC </w:instrText>
      </w:r>
      <w:r w:rsidRPr="00BA109E">
        <w:rPr>
          <w:rFonts w:ascii="Times New Roman" w:hAnsi="Times New Roman" w:cs="Times New Roman"/>
          <w:b/>
          <w:bCs/>
          <w:i w:val="0"/>
          <w:iCs w:val="0"/>
          <w:color w:val="000000" w:themeColor="text1"/>
          <w:sz w:val="24"/>
          <w:szCs w:val="24"/>
        </w:rPr>
        <w:fldChar w:fldCharType="separate"/>
      </w:r>
      <w:r w:rsidR="00896FA2">
        <w:rPr>
          <w:rFonts w:ascii="Times New Roman" w:hAnsi="Times New Roman" w:cs="Times New Roman"/>
          <w:b/>
          <w:bCs/>
          <w:i w:val="0"/>
          <w:iCs w:val="0"/>
          <w:noProof/>
          <w:color w:val="000000" w:themeColor="text1"/>
          <w:sz w:val="24"/>
          <w:szCs w:val="24"/>
        </w:rPr>
        <w:t>9</w:t>
      </w:r>
      <w:r w:rsidRPr="00BA109E">
        <w:rPr>
          <w:rFonts w:ascii="Times New Roman" w:hAnsi="Times New Roman" w:cs="Times New Roman"/>
          <w:b/>
          <w:bCs/>
          <w:i w:val="0"/>
          <w:iCs w:val="0"/>
          <w:color w:val="000000" w:themeColor="text1"/>
          <w:sz w:val="24"/>
          <w:szCs w:val="24"/>
        </w:rPr>
        <w:fldChar w:fldCharType="end"/>
      </w:r>
      <w:r w:rsidRPr="00BA109E">
        <w:rPr>
          <w:rFonts w:ascii="Times New Roman" w:hAnsi="Times New Roman" w:cs="Times New Roman"/>
          <w:i w:val="0"/>
          <w:iCs w:val="0"/>
          <w:color w:val="000000" w:themeColor="text1"/>
          <w:sz w:val="24"/>
          <w:szCs w:val="24"/>
        </w:rPr>
        <w:t>. (</w:t>
      </w:r>
      <w:r w:rsidRPr="00BA109E">
        <w:rPr>
          <w:rFonts w:ascii="Times New Roman" w:hAnsi="Times New Roman" w:cs="Times New Roman"/>
          <w:b/>
          <w:bCs/>
          <w:i w:val="0"/>
          <w:iCs w:val="0"/>
          <w:color w:val="000000" w:themeColor="text1"/>
          <w:sz w:val="24"/>
          <w:szCs w:val="24"/>
        </w:rPr>
        <w:t>a</w:t>
      </w:r>
      <w:r w:rsidRPr="00BA109E">
        <w:rPr>
          <w:rFonts w:ascii="Times New Roman" w:hAnsi="Times New Roman" w:cs="Times New Roman"/>
          <w:i w:val="0"/>
          <w:iCs w:val="0"/>
          <w:color w:val="000000" w:themeColor="text1"/>
          <w:sz w:val="24"/>
          <w:szCs w:val="24"/>
        </w:rPr>
        <w:t xml:space="preserve">) </w:t>
      </w:r>
      <w:r w:rsidR="00BA109E" w:rsidRPr="00BA109E">
        <w:rPr>
          <w:rFonts w:ascii="Times New Roman" w:hAnsi="Times New Roman" w:cs="Times New Roman"/>
          <w:i w:val="0"/>
          <w:iCs w:val="0"/>
          <w:color w:val="000000" w:themeColor="text1"/>
          <w:sz w:val="24"/>
          <w:szCs w:val="24"/>
        </w:rPr>
        <w:t>The</w:t>
      </w:r>
      <w:r w:rsidRPr="00BA109E">
        <w:rPr>
          <w:rFonts w:ascii="Times New Roman" w:hAnsi="Times New Roman" w:cs="Times New Roman"/>
          <w:i w:val="0"/>
          <w:iCs w:val="0"/>
          <w:color w:val="000000" w:themeColor="text1"/>
          <w:sz w:val="24"/>
          <w:szCs w:val="24"/>
        </w:rPr>
        <w:t xml:space="preserve"> compositions of the mixed electrolytes with Pyrrolidinium-based salt and conventional solvents (</w:t>
      </w:r>
      <w:r w:rsidRPr="00BA109E">
        <w:rPr>
          <w:rFonts w:ascii="Times New Roman" w:hAnsi="Times New Roman" w:cs="Times New Roman"/>
          <w:b/>
          <w:bCs/>
          <w:i w:val="0"/>
          <w:iCs w:val="0"/>
          <w:color w:val="000000" w:themeColor="text1"/>
          <w:sz w:val="24"/>
          <w:szCs w:val="24"/>
        </w:rPr>
        <w:t>b</w:t>
      </w:r>
      <w:r w:rsidRPr="00BA109E">
        <w:rPr>
          <w:rFonts w:ascii="Times New Roman" w:hAnsi="Times New Roman" w:cs="Times New Roman"/>
          <w:i w:val="0"/>
          <w:iCs w:val="0"/>
          <w:color w:val="000000" w:themeColor="text1"/>
          <w:sz w:val="24"/>
          <w:szCs w:val="24"/>
        </w:rPr>
        <w:t xml:space="preserve">) </w:t>
      </w:r>
      <w:r w:rsidR="00BA109E" w:rsidRPr="00BA109E">
        <w:rPr>
          <w:rFonts w:ascii="Times New Roman" w:hAnsi="Times New Roman" w:cs="Times New Roman"/>
          <w:i w:val="0"/>
          <w:iCs w:val="0"/>
          <w:color w:val="000000" w:themeColor="text1"/>
          <w:sz w:val="24"/>
          <w:szCs w:val="24"/>
        </w:rPr>
        <w:t>Flame tests on the IL20 electrolytes (</w:t>
      </w:r>
      <w:r w:rsidR="00BA109E" w:rsidRPr="00BA109E">
        <w:rPr>
          <w:rFonts w:ascii="Times New Roman" w:hAnsi="Times New Roman" w:cs="Times New Roman"/>
          <w:b/>
          <w:bCs/>
          <w:i w:val="0"/>
          <w:iCs w:val="0"/>
          <w:color w:val="000000" w:themeColor="text1"/>
          <w:sz w:val="24"/>
          <w:szCs w:val="24"/>
        </w:rPr>
        <w:t>c</w:t>
      </w:r>
      <w:r w:rsidR="00BA109E" w:rsidRPr="00BA109E">
        <w:rPr>
          <w:rFonts w:ascii="Times New Roman" w:hAnsi="Times New Roman" w:cs="Times New Roman"/>
          <w:i w:val="0"/>
          <w:iCs w:val="0"/>
          <w:color w:val="000000" w:themeColor="text1"/>
          <w:sz w:val="24"/>
          <w:szCs w:val="24"/>
        </w:rPr>
        <w:t>) TGA curves of all the electrolytes in the Figure 8a.</w:t>
      </w:r>
    </w:p>
    <w:p w14:paraId="0F6D686A" w14:textId="77777777" w:rsidR="005E302B" w:rsidRDefault="005E302B" w:rsidP="00811191">
      <w:pPr>
        <w:spacing w:line="288" w:lineRule="auto"/>
        <w:rPr>
          <w:rFonts w:ascii="Times New Roman" w:hAnsi="Times New Roman" w:cs="Times New Roman"/>
        </w:rPr>
      </w:pPr>
    </w:p>
    <w:p w14:paraId="37F8A207" w14:textId="77777777" w:rsidR="008444B7" w:rsidRDefault="008444B7" w:rsidP="00811191">
      <w:pPr>
        <w:spacing w:line="288" w:lineRule="auto"/>
        <w:rPr>
          <w:rFonts w:ascii="Times New Roman" w:hAnsi="Times New Roman" w:cs="Times New Roman"/>
        </w:rPr>
      </w:pPr>
    </w:p>
    <w:p w14:paraId="518394AF" w14:textId="5FAD291A" w:rsidR="008444B7" w:rsidRDefault="00173BEA" w:rsidP="00811191">
      <w:pPr>
        <w:spacing w:line="288" w:lineRule="auto"/>
        <w:rPr>
          <w:rFonts w:ascii="Times New Roman" w:hAnsi="Times New Roman" w:cs="Times New Roman"/>
        </w:rPr>
      </w:pPr>
      <w:r>
        <w:rPr>
          <w:rFonts w:ascii="Times New Roman" w:hAnsi="Times New Roman" w:cs="Times New Roman"/>
        </w:rPr>
        <w:t>AQUEOUS ELECTROLYTE</w:t>
      </w:r>
    </w:p>
    <w:p w14:paraId="2AE64A26" w14:textId="4BA7375C" w:rsidR="00896FA2" w:rsidRDefault="00173BEA" w:rsidP="00811191">
      <w:pPr>
        <w:spacing w:line="288" w:lineRule="auto"/>
        <w:rPr>
          <w:rFonts w:ascii="Times New Roman" w:hAnsi="Times New Roman" w:cs="Times New Roman"/>
        </w:rPr>
      </w:pPr>
      <w:r>
        <w:rPr>
          <w:rFonts w:ascii="Times New Roman" w:hAnsi="Times New Roman" w:cs="Times New Roman"/>
        </w:rPr>
        <w:t>Most obvious alternative of flammable organic solvents is aqueous electrolyte. While organic solvents are highly flammable, water is not flammable which increases the thermal stability of LIB system overall. However, as discussed earlier, using water as a solvent has been avoided due to its electrochemical side reaction. The electrochemical window of water</w:t>
      </w:r>
      <w:r w:rsidR="003C6805">
        <w:rPr>
          <w:rFonts w:ascii="Times New Roman" w:hAnsi="Times New Roman" w:cs="Times New Roman"/>
        </w:rPr>
        <w:t>-</w:t>
      </w:r>
      <w:r>
        <w:rPr>
          <w:rFonts w:ascii="Times New Roman" w:hAnsi="Times New Roman" w:cs="Times New Roman"/>
        </w:rPr>
        <w:t>based electrolytes is typically limited to 1.23 V due to hydrogen reduction reaction and oxygen evolution reaction</w:t>
      </w:r>
      <w:r w:rsidR="008D7027">
        <w:rPr>
          <w:rFonts w:ascii="Times New Roman" w:hAnsi="Times New Roman" w:cs="Times New Roman"/>
        </w:rPr>
        <w:fldChar w:fldCharType="begin"/>
      </w:r>
      <w:r w:rsidR="002D2F87">
        <w:rPr>
          <w:rFonts w:ascii="Times New Roman" w:hAnsi="Times New Roman" w:cs="Times New Roman"/>
        </w:rPr>
        <w:instrText xml:space="preserve"> ADDIN ZOTERO_ITEM CSL_CITATION {"citationID":"weQKuu41","properties":{"formattedCitation":"\\super 7\\nosupersub{}","plainCitation":"7","noteIndex":0},"citationItems":[{"id":185,"uris":["http://zotero.org/users/10652978/items/78L7HS3X"],"itemData":{"id":185,"type":"article-journal","abstract":"A concentrated effort for battery safety\n            \n              Aqueous electrolytes are limited to run below 1.23 V to avoid degradation. Suo\n              et al.\n              smash through this limit with an aqueous salt solution containing lithium (Li) bis(trifluoromethane sulfonyl)imide to create an electrolyte that has an electrochemical window of 3 V (see the Perspective by Smith and Dunn). They used extremely high-concentration solutions, which suppressed hydrogen evolution and electrode oxidation. At these concentrations, the Li solvation shell changes because there simply is not enough water to neutralize the Li\n              +\n              charge. Thus, flammable organic electrolytes could potentially be replaced with a safer aqueous alternative.\n            \n            \n              Science\n              , this issue p.\n              938\n              ; see also p.\n              918\n            \n          , \n            \n              The electrochemical stability window of an aqueous electrolyte is expanded to 3 volts.\n              \n                [Also see Perspective by\n                Smith and Dunn\n                ]\n              \n            \n          , \n            Lithium-ion batteries raise safety, environmental, and cost concerns, which mostly arise from their nonaqueous electrolytes. The use of aqueous alternatives is limited by their narrow electrochemical stability window (1.23 volts), which sets an intrinsic limit on the practical voltage and energy output. We report a highly concentrated aqueous electrolyte whose window was expanded to ~3.0 volts with the formation of an electrode-electrolyte interphase. A full lithium-ion battery of 2.3 volts using such an aqueous electrolyte was demonstrated to cycle up to 1000 times, with nearly 100% coulombic efficiency at both low (0.15 C) and high (4.5 C) discharge and charge rates.","container-title":"Science","DOI":"10.1126/science.aab1595","ISSN":"0036-8075, 1095-9203","issue":"6263","journalAbbreviation":"Science","language":"en","page":"938-943","source":"DOI.org (Crossref)","title":"“Water-in-salt” electrolyte enables high-voltage aqueous lithium-ion chemistries","volume":"350","author":[{"family":"Suo","given":"Liumin"},{"family":"Borodin","given":"Oleg"},{"family":"Gao","given":"Tao"},{"family":"Olguin","given":"Marco"},{"family":"Ho","given":"Janet"},{"family":"Fan","given":"Xiulin"},{"family":"Luo","given":"Chao"},{"family":"Wang","given":"Chunsheng"},{"family":"Xu","given":"Kang"}],"issued":{"date-parts":[["2015",11,20]]}}}],"schema":"https://github.com/citation-style-language/schema/raw/master/csl-citation.json"} </w:instrText>
      </w:r>
      <w:r w:rsidR="008D7027">
        <w:rPr>
          <w:rFonts w:ascii="Times New Roman" w:hAnsi="Times New Roman" w:cs="Times New Roman"/>
        </w:rPr>
        <w:fldChar w:fldCharType="separate"/>
      </w:r>
      <w:r w:rsidR="002D2F87" w:rsidRPr="002D2F87">
        <w:rPr>
          <w:rFonts w:ascii="Times New Roman" w:hAnsi="Times New Roman" w:cs="Times New Roman"/>
          <w:kern w:val="0"/>
          <w:vertAlign w:val="superscript"/>
        </w:rPr>
        <w:t>7</w:t>
      </w:r>
      <w:r w:rsidR="008D7027">
        <w:rPr>
          <w:rFonts w:ascii="Times New Roman" w:hAnsi="Times New Roman" w:cs="Times New Roman"/>
        </w:rPr>
        <w:fldChar w:fldCharType="end"/>
      </w:r>
      <w:r>
        <w:rPr>
          <w:rFonts w:ascii="Times New Roman" w:hAnsi="Times New Roman" w:cs="Times New Roman"/>
        </w:rPr>
        <w:t xml:space="preserve">. </w:t>
      </w:r>
      <w:r w:rsidR="003C6805">
        <w:rPr>
          <w:rFonts w:ascii="Times New Roman" w:hAnsi="Times New Roman" w:cs="Times New Roman"/>
        </w:rPr>
        <w:t xml:space="preserve">The previous </w:t>
      </w:r>
      <w:r w:rsidR="008D7027">
        <w:rPr>
          <w:rFonts w:ascii="Times New Roman" w:hAnsi="Times New Roman" w:cs="Times New Roman"/>
        </w:rPr>
        <w:t>aqueous battery that utilized LiMn</w:t>
      </w:r>
      <w:r w:rsidR="008D7027" w:rsidRPr="008D7027">
        <w:rPr>
          <w:rFonts w:ascii="Times New Roman" w:hAnsi="Times New Roman" w:cs="Times New Roman"/>
          <w:vertAlign w:val="subscript"/>
        </w:rPr>
        <w:t>2</w:t>
      </w:r>
      <w:r w:rsidR="008D7027">
        <w:rPr>
          <w:rFonts w:ascii="Times New Roman" w:hAnsi="Times New Roman" w:cs="Times New Roman"/>
        </w:rPr>
        <w:t>O</w:t>
      </w:r>
      <w:r w:rsidR="008D7027" w:rsidRPr="008D7027">
        <w:rPr>
          <w:rFonts w:ascii="Times New Roman" w:hAnsi="Times New Roman" w:cs="Times New Roman"/>
          <w:vertAlign w:val="subscript"/>
        </w:rPr>
        <w:t>4</w:t>
      </w:r>
      <w:r w:rsidR="008D7027">
        <w:rPr>
          <w:rFonts w:ascii="Times New Roman" w:hAnsi="Times New Roman" w:cs="Times New Roman"/>
        </w:rPr>
        <w:t xml:space="preserve"> was able to reach 2.0 V, which is still narrower than the system with organic electrolyte. </w:t>
      </w:r>
      <w:r>
        <w:rPr>
          <w:rFonts w:ascii="Times New Roman" w:hAnsi="Times New Roman" w:cs="Times New Roman"/>
        </w:rPr>
        <w:t xml:space="preserve">However, </w:t>
      </w:r>
      <w:r w:rsidR="003C6805">
        <w:rPr>
          <w:rFonts w:ascii="Times New Roman" w:hAnsi="Times New Roman" w:cs="Times New Roman"/>
        </w:rPr>
        <w:t>in 2015, Suo et al</w:t>
      </w:r>
      <w:r w:rsidR="002D2F87">
        <w:rPr>
          <w:rFonts w:ascii="Times New Roman" w:hAnsi="Times New Roman" w:cs="Times New Roman"/>
        </w:rPr>
        <w:t>.</w:t>
      </w:r>
      <w:r w:rsidR="003C6805">
        <w:rPr>
          <w:rFonts w:ascii="Times New Roman" w:hAnsi="Times New Roman" w:cs="Times New Roman"/>
        </w:rPr>
        <w:t xml:space="preserve"> reported a 3.0 V aqueous lithium-ion battery</w:t>
      </w:r>
      <w:r w:rsidR="002D2F87">
        <w:rPr>
          <w:rFonts w:ascii="Times New Roman" w:hAnsi="Times New Roman" w:cs="Times New Roman"/>
        </w:rPr>
        <w:fldChar w:fldCharType="begin"/>
      </w:r>
      <w:r w:rsidR="002D2F87">
        <w:rPr>
          <w:rFonts w:ascii="Times New Roman" w:hAnsi="Times New Roman" w:cs="Times New Roman"/>
        </w:rPr>
        <w:instrText xml:space="preserve"> ADDIN ZOTERO_ITEM CSL_CITATION {"citationID":"gU8BvAHP","properties":{"formattedCitation":"\\super 7\\nosupersub{}","plainCitation":"7","noteIndex":0},"citationItems":[{"id":185,"uris":["http://zotero.org/users/10652978/items/78L7HS3X"],"itemData":{"id":185,"type":"article-journal","abstract":"A concentrated effort for battery safety\n            \n              Aqueous electrolytes are limited to run below 1.23 V to avoid degradation. Suo\n              et al.\n              smash through this limit with an aqueous salt solution containing lithium (Li) bis(trifluoromethane sulfonyl)imide to create an electrolyte that has an electrochemical window of 3 V (see the Perspective by Smith and Dunn). They used extremely high-concentration solutions, which suppressed hydrogen evolution and electrode oxidation. At these concentrations, the Li solvation shell changes because there simply is not enough water to neutralize the Li\n              +\n              charge. Thus, flammable organic electrolytes could potentially be replaced with a safer aqueous alternative.\n            \n            \n              Science\n              , this issue p.\n              938\n              ; see also p.\n              918\n            \n          , \n            \n              The electrochemical stability window of an aqueous electrolyte is expanded to 3 volts.\n              \n                [Also see Perspective by\n                Smith and Dunn\n                ]\n              \n            \n          , \n            Lithium-ion batteries raise safety, environmental, and cost concerns, which mostly arise from their nonaqueous electrolytes. The use of aqueous alternatives is limited by their narrow electrochemical stability window (1.23 volts), which sets an intrinsic limit on the practical voltage and energy output. We report a highly concentrated aqueous electrolyte whose window was expanded to ~3.0 volts with the formation of an electrode-electrolyte interphase. A full lithium-ion battery of 2.3 volts using such an aqueous electrolyte was demonstrated to cycle up to 1000 times, with nearly 100% coulombic efficiency at both low (0.15 C) and high (4.5 C) discharge and charge rates.","container-title":"Science","DOI":"10.1126/science.aab1595","ISSN":"0036-8075, 1095-9203","issue":"6263","journalAbbreviation":"Science","language":"en","page":"938-943","source":"DOI.org (Crossref)","title":"“Water-in-salt” electrolyte enables high-voltage aqueous lithium-ion chemistries","volume":"350","author":[{"family":"Suo","given":"Liumin"},{"family":"Borodin","given":"Oleg"},{"family":"Gao","given":"Tao"},{"family":"Olguin","given":"Marco"},{"family":"Ho","given":"Janet"},{"family":"Fan","given":"Xiulin"},{"family":"Luo","given":"Chao"},{"family":"Wang","given":"Chunsheng"},{"family":"Xu","given":"Kang"}],"issued":{"date-parts":[["2015",11,20]]}}}],"schema":"https://github.com/citation-style-language/schema/raw/master/csl-citation.json"} </w:instrText>
      </w:r>
      <w:r w:rsidR="002D2F87">
        <w:rPr>
          <w:rFonts w:ascii="Times New Roman" w:hAnsi="Times New Roman" w:cs="Times New Roman"/>
        </w:rPr>
        <w:fldChar w:fldCharType="separate"/>
      </w:r>
      <w:r w:rsidR="002D2F87" w:rsidRPr="002D2F87">
        <w:rPr>
          <w:rFonts w:ascii="Times New Roman" w:hAnsi="Times New Roman" w:cs="Times New Roman"/>
          <w:kern w:val="0"/>
          <w:vertAlign w:val="superscript"/>
        </w:rPr>
        <w:t>7</w:t>
      </w:r>
      <w:r w:rsidR="002D2F87">
        <w:rPr>
          <w:rFonts w:ascii="Times New Roman" w:hAnsi="Times New Roman" w:cs="Times New Roman"/>
        </w:rPr>
        <w:fldChar w:fldCharType="end"/>
      </w:r>
      <w:r w:rsidR="003C6805">
        <w:rPr>
          <w:rFonts w:ascii="Times New Roman" w:hAnsi="Times New Roman" w:cs="Times New Roman"/>
        </w:rPr>
        <w:t xml:space="preserve">. </w:t>
      </w:r>
      <w:r w:rsidR="002D2F87">
        <w:rPr>
          <w:rFonts w:ascii="Times New Roman" w:hAnsi="Times New Roman" w:cs="Times New Roman"/>
        </w:rPr>
        <w:t xml:space="preserve">They named the system “water-in-salt” because of the very high concentration of salt used in the system—20 m </w:t>
      </w:r>
      <w:r w:rsidR="00896FA2">
        <w:rPr>
          <w:rFonts w:ascii="Times New Roman" w:hAnsi="Times New Roman" w:cs="Times New Roman"/>
        </w:rPr>
        <w:t xml:space="preserve">lithium </w:t>
      </w:r>
      <w:proofErr w:type="gramStart"/>
      <w:r w:rsidR="00896FA2">
        <w:rPr>
          <w:rFonts w:ascii="Times New Roman" w:hAnsi="Times New Roman" w:cs="Times New Roman"/>
        </w:rPr>
        <w:t>bis(</w:t>
      </w:r>
      <w:proofErr w:type="spellStart"/>
      <w:proofErr w:type="gramEnd"/>
      <w:r w:rsidR="00896FA2">
        <w:rPr>
          <w:rFonts w:ascii="Times New Roman" w:hAnsi="Times New Roman" w:cs="Times New Roman"/>
        </w:rPr>
        <w:t>trifluoromethane</w:t>
      </w:r>
      <w:proofErr w:type="spellEnd"/>
      <w:r w:rsidR="00896FA2">
        <w:rPr>
          <w:rFonts w:ascii="Times New Roman" w:hAnsi="Times New Roman" w:cs="Times New Roman"/>
        </w:rPr>
        <w:t xml:space="preserve"> sulfonyl)imide (</w:t>
      </w:r>
      <w:proofErr w:type="spellStart"/>
      <w:r w:rsidR="002D2F87">
        <w:rPr>
          <w:rFonts w:ascii="Times New Roman" w:hAnsi="Times New Roman" w:cs="Times New Roman"/>
        </w:rPr>
        <w:t>LiTFSI</w:t>
      </w:r>
      <w:proofErr w:type="spellEnd"/>
      <w:r w:rsidR="00896FA2">
        <w:rPr>
          <w:rFonts w:ascii="Times New Roman" w:hAnsi="Times New Roman" w:cs="Times New Roman"/>
        </w:rPr>
        <w:t>)</w:t>
      </w:r>
      <w:r w:rsidR="002D2F87">
        <w:rPr>
          <w:rFonts w:ascii="Times New Roman" w:hAnsi="Times New Roman" w:cs="Times New Roman"/>
        </w:rPr>
        <w:t xml:space="preserve"> salt in water. High concentration of salt induced the formation of inorganic-rich, stable electrode-electrolyte interface. Such interface </w:t>
      </w:r>
      <w:r w:rsidR="00896FA2">
        <w:rPr>
          <w:rFonts w:ascii="Times New Roman" w:hAnsi="Times New Roman" w:cs="Times New Roman"/>
        </w:rPr>
        <w:t>effectively reduced</w:t>
      </w:r>
      <w:r w:rsidR="002D2F87">
        <w:rPr>
          <w:rFonts w:ascii="Times New Roman" w:hAnsi="Times New Roman" w:cs="Times New Roman"/>
        </w:rPr>
        <w:t xml:space="preserve"> the electrochemical activity of water.</w:t>
      </w:r>
      <w:r w:rsidR="00896FA2">
        <w:rPr>
          <w:rFonts w:ascii="Times New Roman" w:hAnsi="Times New Roman" w:cs="Times New Roman"/>
        </w:rPr>
        <w:t xml:space="preserve"> With the reduced side reactions of oxygen and hydrogen at the electrode surfaces, Suo et al. was able to expand the electrochemical window to 3.0 V (</w:t>
      </w:r>
      <w:r w:rsidR="00896FA2" w:rsidRPr="00896FA2">
        <w:rPr>
          <w:rFonts w:ascii="Times New Roman" w:hAnsi="Times New Roman" w:cs="Times New Roman"/>
          <w:b/>
          <w:bCs/>
        </w:rPr>
        <w:t>Figure 10</w:t>
      </w:r>
      <w:r w:rsidR="00896FA2">
        <w:rPr>
          <w:rFonts w:ascii="Times New Roman" w:hAnsi="Times New Roman" w:cs="Times New Roman"/>
        </w:rPr>
        <w:t xml:space="preserve">). </w:t>
      </w:r>
      <w:r w:rsidR="00B5138F">
        <w:rPr>
          <w:rFonts w:ascii="Times New Roman" w:hAnsi="Times New Roman" w:cs="Times New Roman"/>
        </w:rPr>
        <w:t xml:space="preserve"> However, the main drawback of using aqueous electrolytes is the limitation of type of anode that can be utilized in the </w:t>
      </w:r>
      <w:r w:rsidR="00B5138F">
        <w:rPr>
          <w:rFonts w:ascii="Times New Roman" w:hAnsi="Times New Roman" w:cs="Times New Roman"/>
        </w:rPr>
        <w:lastRenderedPageBreak/>
        <w:t xml:space="preserve">system. Aqueous electrolytes have poor stability at energy dense anode materials such as silicon, graphite, and Li metal, resulting in low capacity. These anode materials require even wider electrochemical window, where aqueous electrolyte starts breaking down. When the electrolyte reaches the potential that these anode materials require, hydrogen evolution reaction happens and disrupts a stable interphase formation. </w:t>
      </w:r>
    </w:p>
    <w:p w14:paraId="30BE75BC" w14:textId="77777777" w:rsidR="00896FA2" w:rsidRDefault="00896FA2" w:rsidP="00896FA2">
      <w:pPr>
        <w:keepNext/>
        <w:spacing w:line="288" w:lineRule="auto"/>
      </w:pPr>
      <w:r>
        <w:rPr>
          <w:rFonts w:ascii="Times New Roman" w:hAnsi="Times New Roman" w:cs="Times New Roman"/>
        </w:rPr>
        <w:t xml:space="preserve"> </w:t>
      </w:r>
      <w:r w:rsidRPr="00896FA2">
        <w:rPr>
          <w:rFonts w:ascii="Times New Roman" w:hAnsi="Times New Roman" w:cs="Times New Roman"/>
          <w:noProof/>
        </w:rPr>
        <w:drawing>
          <wp:inline distT="0" distB="0" distL="0" distR="0" wp14:anchorId="4E7359E5" wp14:editId="3A4C7E4F">
            <wp:extent cx="5486400" cy="4622800"/>
            <wp:effectExtent l="0" t="0" r="0" b="0"/>
            <wp:docPr id="1838994644" name="Picture 1" descr="A diagram of electrical energ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994644" name="Picture 1" descr="A diagram of electrical energy&#10;&#10;Description automatically generated"/>
                    <pic:cNvPicPr/>
                  </pic:nvPicPr>
                  <pic:blipFill>
                    <a:blip r:embed="rId15"/>
                    <a:stretch>
                      <a:fillRect/>
                    </a:stretch>
                  </pic:blipFill>
                  <pic:spPr>
                    <a:xfrm>
                      <a:off x="0" y="0"/>
                      <a:ext cx="5486400" cy="4622800"/>
                    </a:xfrm>
                    <a:prstGeom prst="rect">
                      <a:avLst/>
                    </a:prstGeom>
                  </pic:spPr>
                </pic:pic>
              </a:graphicData>
            </a:graphic>
          </wp:inline>
        </w:drawing>
      </w:r>
    </w:p>
    <w:p w14:paraId="54CC86D5" w14:textId="23C83AD8" w:rsidR="00173BEA" w:rsidRPr="00B5138F" w:rsidRDefault="00896FA2" w:rsidP="00896FA2">
      <w:pPr>
        <w:pStyle w:val="Caption"/>
        <w:rPr>
          <w:rFonts w:ascii="Times New Roman" w:hAnsi="Times New Roman" w:cs="Times New Roman"/>
          <w:i w:val="0"/>
          <w:iCs w:val="0"/>
          <w:color w:val="000000" w:themeColor="text1"/>
          <w:sz w:val="24"/>
          <w:szCs w:val="24"/>
        </w:rPr>
      </w:pPr>
      <w:r w:rsidRPr="00B5138F">
        <w:rPr>
          <w:rFonts w:ascii="Times New Roman" w:hAnsi="Times New Roman" w:cs="Times New Roman"/>
          <w:b/>
          <w:bCs/>
          <w:i w:val="0"/>
          <w:iCs w:val="0"/>
          <w:color w:val="000000" w:themeColor="text1"/>
          <w:sz w:val="24"/>
          <w:szCs w:val="24"/>
        </w:rPr>
        <w:t xml:space="preserve">Figure </w:t>
      </w:r>
      <w:r w:rsidRPr="00B5138F">
        <w:rPr>
          <w:rFonts w:ascii="Times New Roman" w:hAnsi="Times New Roman" w:cs="Times New Roman"/>
          <w:b/>
          <w:bCs/>
          <w:i w:val="0"/>
          <w:iCs w:val="0"/>
          <w:color w:val="000000" w:themeColor="text1"/>
          <w:sz w:val="24"/>
          <w:szCs w:val="24"/>
        </w:rPr>
        <w:fldChar w:fldCharType="begin"/>
      </w:r>
      <w:r w:rsidRPr="00B5138F">
        <w:rPr>
          <w:rFonts w:ascii="Times New Roman" w:hAnsi="Times New Roman" w:cs="Times New Roman"/>
          <w:b/>
          <w:bCs/>
          <w:i w:val="0"/>
          <w:iCs w:val="0"/>
          <w:color w:val="000000" w:themeColor="text1"/>
          <w:sz w:val="24"/>
          <w:szCs w:val="24"/>
        </w:rPr>
        <w:instrText xml:space="preserve"> SEQ Figure \* ARABIC </w:instrText>
      </w:r>
      <w:r w:rsidRPr="00B5138F">
        <w:rPr>
          <w:rFonts w:ascii="Times New Roman" w:hAnsi="Times New Roman" w:cs="Times New Roman"/>
          <w:b/>
          <w:bCs/>
          <w:i w:val="0"/>
          <w:iCs w:val="0"/>
          <w:color w:val="000000" w:themeColor="text1"/>
          <w:sz w:val="24"/>
          <w:szCs w:val="24"/>
        </w:rPr>
        <w:fldChar w:fldCharType="separate"/>
      </w:r>
      <w:r w:rsidRPr="00B5138F">
        <w:rPr>
          <w:rFonts w:ascii="Times New Roman" w:hAnsi="Times New Roman" w:cs="Times New Roman"/>
          <w:b/>
          <w:bCs/>
          <w:i w:val="0"/>
          <w:iCs w:val="0"/>
          <w:noProof/>
          <w:color w:val="000000" w:themeColor="text1"/>
          <w:sz w:val="24"/>
          <w:szCs w:val="24"/>
        </w:rPr>
        <w:t>10</w:t>
      </w:r>
      <w:r w:rsidRPr="00B5138F">
        <w:rPr>
          <w:rFonts w:ascii="Times New Roman" w:hAnsi="Times New Roman" w:cs="Times New Roman"/>
          <w:b/>
          <w:bCs/>
          <w:i w:val="0"/>
          <w:iCs w:val="0"/>
          <w:color w:val="000000" w:themeColor="text1"/>
          <w:sz w:val="24"/>
          <w:szCs w:val="24"/>
        </w:rPr>
        <w:fldChar w:fldCharType="end"/>
      </w:r>
      <w:r w:rsidRPr="00B5138F">
        <w:rPr>
          <w:rFonts w:ascii="Times New Roman" w:hAnsi="Times New Roman" w:cs="Times New Roman"/>
          <w:b/>
          <w:bCs/>
          <w:i w:val="0"/>
          <w:iCs w:val="0"/>
          <w:color w:val="000000" w:themeColor="text1"/>
          <w:sz w:val="24"/>
          <w:szCs w:val="24"/>
        </w:rPr>
        <w:t>.</w:t>
      </w:r>
      <w:r w:rsidRPr="00B5138F">
        <w:rPr>
          <w:rFonts w:ascii="Times New Roman" w:hAnsi="Times New Roman" w:cs="Times New Roman"/>
          <w:i w:val="0"/>
          <w:iCs w:val="0"/>
          <w:color w:val="000000" w:themeColor="text1"/>
          <w:sz w:val="24"/>
          <w:szCs w:val="24"/>
        </w:rPr>
        <w:t xml:space="preserve"> The electrochemical stability window of the aqueous electrolyte on </w:t>
      </w:r>
      <w:r w:rsidR="00B5138F" w:rsidRPr="00B5138F">
        <w:rPr>
          <w:rFonts w:ascii="Times New Roman" w:hAnsi="Times New Roman" w:cs="Times New Roman"/>
          <w:i w:val="0"/>
          <w:iCs w:val="0"/>
          <w:color w:val="000000" w:themeColor="text1"/>
          <w:sz w:val="24"/>
          <w:szCs w:val="24"/>
        </w:rPr>
        <w:t>stainless steel electrodes</w:t>
      </w:r>
    </w:p>
    <w:p w14:paraId="56F8A091" w14:textId="77777777" w:rsidR="008444B7" w:rsidRDefault="008444B7" w:rsidP="00811191">
      <w:pPr>
        <w:spacing w:line="288" w:lineRule="auto"/>
        <w:rPr>
          <w:rFonts w:ascii="Times New Roman" w:hAnsi="Times New Roman" w:cs="Times New Roman"/>
        </w:rPr>
      </w:pPr>
    </w:p>
    <w:p w14:paraId="66CA6963" w14:textId="0AC32090" w:rsidR="00B5138F" w:rsidRDefault="00B5138F" w:rsidP="00811191">
      <w:pPr>
        <w:spacing w:line="288" w:lineRule="auto"/>
        <w:rPr>
          <w:rFonts w:ascii="Times New Roman" w:hAnsi="Times New Roman" w:cs="Times New Roman"/>
        </w:rPr>
      </w:pPr>
      <w:r>
        <w:rPr>
          <w:rFonts w:ascii="Times New Roman" w:hAnsi="Times New Roman" w:cs="Times New Roman"/>
        </w:rPr>
        <w:t>CONCLUSION</w:t>
      </w:r>
    </w:p>
    <w:p w14:paraId="4C34C29A" w14:textId="77777777" w:rsidR="002B12BD" w:rsidRDefault="00B5138F" w:rsidP="00811191">
      <w:pPr>
        <w:spacing w:line="288" w:lineRule="auto"/>
        <w:rPr>
          <w:rFonts w:ascii="Times New Roman" w:hAnsi="Times New Roman" w:cs="Times New Roman"/>
        </w:rPr>
      </w:pPr>
      <w:r>
        <w:rPr>
          <w:rFonts w:ascii="Times New Roman" w:hAnsi="Times New Roman" w:cs="Times New Roman"/>
        </w:rPr>
        <w:t xml:space="preserve">In conclusion, conventional organic electrolytes for lithium-ion batteries involve numerous safety hazards such as thermal runaway. Studies have reported different types of </w:t>
      </w:r>
      <w:r w:rsidR="001F1B9D">
        <w:rPr>
          <w:rFonts w:ascii="Times New Roman" w:hAnsi="Times New Roman" w:cs="Times New Roman"/>
        </w:rPr>
        <w:t>non-flammable electrolytes including non-flammable additives, high concentration electrolyte, ionic liquids, and aqueous electrolyte. Each method still has limitations that need improvement.</w:t>
      </w:r>
    </w:p>
    <w:p w14:paraId="55B59D0A" w14:textId="77777777" w:rsidR="002B12BD" w:rsidRDefault="002B12BD" w:rsidP="00811191">
      <w:pPr>
        <w:spacing w:line="288" w:lineRule="auto"/>
        <w:rPr>
          <w:rFonts w:ascii="Times New Roman" w:hAnsi="Times New Roman" w:cs="Times New Roman"/>
        </w:rPr>
      </w:pPr>
    </w:p>
    <w:p w14:paraId="582A273B" w14:textId="77777777" w:rsidR="002B12BD" w:rsidRDefault="002B12BD" w:rsidP="00811191">
      <w:pPr>
        <w:spacing w:line="288" w:lineRule="auto"/>
        <w:rPr>
          <w:rFonts w:ascii="Times New Roman" w:hAnsi="Times New Roman" w:cs="Times New Roman"/>
        </w:rPr>
      </w:pPr>
    </w:p>
    <w:p w14:paraId="4CB5F686" w14:textId="79B27DF7" w:rsidR="002B12BD" w:rsidRDefault="002B12BD" w:rsidP="00811191">
      <w:pPr>
        <w:spacing w:line="288" w:lineRule="auto"/>
        <w:rPr>
          <w:rFonts w:ascii="Times New Roman" w:hAnsi="Times New Roman" w:cs="Times New Roman"/>
        </w:rPr>
        <w:sectPr w:rsidR="002B12BD">
          <w:pgSz w:w="12240" w:h="15840"/>
          <w:pgMar w:top="1440" w:right="1440" w:bottom="1440" w:left="1440" w:header="720" w:footer="720" w:gutter="0"/>
          <w:cols w:space="720"/>
          <w:docGrid w:linePitch="360"/>
        </w:sectPr>
      </w:pPr>
    </w:p>
    <w:p w14:paraId="7B9FD9FF" w14:textId="4DE60F83" w:rsidR="004076C8" w:rsidRPr="004076C8" w:rsidRDefault="002B12BD" w:rsidP="002B12BD">
      <w:pPr>
        <w:pStyle w:val="Bibliography"/>
        <w:rPr>
          <w:rFonts w:ascii="Times New Roman" w:hAnsi="Times New Roman" w:cs="Times New Roman"/>
        </w:rPr>
      </w:pPr>
      <w:r>
        <w:lastRenderedPageBreak/>
        <w:t>(</w:t>
      </w:r>
      <w:r w:rsidR="004076C8">
        <w:fldChar w:fldCharType="begin"/>
      </w:r>
      <w:r w:rsidR="004076C8">
        <w:instrText xml:space="preserve"> ADDIN ZOTERO_BIBL {"uncited":[],"omitted":[],"custom":[]} CSL_BIBLIOGRAPHY </w:instrText>
      </w:r>
      <w:r w:rsidR="004076C8">
        <w:fldChar w:fldCharType="separate"/>
      </w:r>
      <w:r w:rsidR="004076C8" w:rsidRPr="004076C8">
        <w:rPr>
          <w:rFonts w:ascii="Times New Roman" w:hAnsi="Times New Roman" w:cs="Times New Roman"/>
        </w:rPr>
        <w:t>1)</w:t>
      </w:r>
      <w:r w:rsidR="004076C8" w:rsidRPr="004076C8">
        <w:rPr>
          <w:rFonts w:ascii="Times New Roman" w:hAnsi="Times New Roman" w:cs="Times New Roman"/>
        </w:rPr>
        <w:tab/>
        <w:t xml:space="preserve">Gond, R.; Van </w:t>
      </w:r>
      <w:proofErr w:type="spellStart"/>
      <w:r w:rsidR="004076C8" w:rsidRPr="004076C8">
        <w:rPr>
          <w:rFonts w:ascii="Times New Roman" w:hAnsi="Times New Roman" w:cs="Times New Roman"/>
        </w:rPr>
        <w:t>Ekeren</w:t>
      </w:r>
      <w:proofErr w:type="spellEnd"/>
      <w:r w:rsidR="004076C8" w:rsidRPr="004076C8">
        <w:rPr>
          <w:rFonts w:ascii="Times New Roman" w:hAnsi="Times New Roman" w:cs="Times New Roman"/>
        </w:rPr>
        <w:t xml:space="preserve">, W.; </w:t>
      </w:r>
      <w:proofErr w:type="spellStart"/>
      <w:r w:rsidR="004076C8" w:rsidRPr="004076C8">
        <w:rPr>
          <w:rFonts w:ascii="Times New Roman" w:hAnsi="Times New Roman" w:cs="Times New Roman"/>
        </w:rPr>
        <w:t>Mogensen</w:t>
      </w:r>
      <w:proofErr w:type="spellEnd"/>
      <w:r w:rsidR="004076C8" w:rsidRPr="004076C8">
        <w:rPr>
          <w:rFonts w:ascii="Times New Roman" w:hAnsi="Times New Roman" w:cs="Times New Roman"/>
        </w:rPr>
        <w:t xml:space="preserve">, R.; Naylor, A. J.; </w:t>
      </w:r>
      <w:proofErr w:type="spellStart"/>
      <w:r w:rsidR="004076C8" w:rsidRPr="004076C8">
        <w:rPr>
          <w:rFonts w:ascii="Times New Roman" w:hAnsi="Times New Roman" w:cs="Times New Roman"/>
        </w:rPr>
        <w:t>Younesi</w:t>
      </w:r>
      <w:proofErr w:type="spellEnd"/>
      <w:r w:rsidR="004076C8" w:rsidRPr="004076C8">
        <w:rPr>
          <w:rFonts w:ascii="Times New Roman" w:hAnsi="Times New Roman" w:cs="Times New Roman"/>
        </w:rPr>
        <w:t xml:space="preserve">, R. Non-Flammable Liquid Electrolytes for Safe Batteries. </w:t>
      </w:r>
      <w:r w:rsidR="004076C8" w:rsidRPr="004076C8">
        <w:rPr>
          <w:rFonts w:ascii="Times New Roman" w:hAnsi="Times New Roman" w:cs="Times New Roman"/>
          <w:i/>
          <w:iCs/>
        </w:rPr>
        <w:t xml:space="preserve">Mater. </w:t>
      </w:r>
      <w:proofErr w:type="spellStart"/>
      <w:r w:rsidR="004076C8" w:rsidRPr="004076C8">
        <w:rPr>
          <w:rFonts w:ascii="Times New Roman" w:hAnsi="Times New Roman" w:cs="Times New Roman"/>
          <w:i/>
          <w:iCs/>
        </w:rPr>
        <w:t>Horiz</w:t>
      </w:r>
      <w:proofErr w:type="spellEnd"/>
      <w:r w:rsidR="004076C8" w:rsidRPr="004076C8">
        <w:rPr>
          <w:rFonts w:ascii="Times New Roman" w:hAnsi="Times New Roman" w:cs="Times New Roman"/>
          <w:i/>
          <w:iCs/>
        </w:rPr>
        <w:t>.</w:t>
      </w:r>
      <w:r w:rsidR="004076C8" w:rsidRPr="004076C8">
        <w:rPr>
          <w:rFonts w:ascii="Times New Roman" w:hAnsi="Times New Roman" w:cs="Times New Roman"/>
        </w:rPr>
        <w:t xml:space="preserve"> </w:t>
      </w:r>
      <w:r w:rsidR="004076C8" w:rsidRPr="004076C8">
        <w:rPr>
          <w:rFonts w:ascii="Times New Roman" w:hAnsi="Times New Roman" w:cs="Times New Roman"/>
          <w:b/>
          <w:bCs/>
        </w:rPr>
        <w:t>2021</w:t>
      </w:r>
      <w:r w:rsidR="004076C8" w:rsidRPr="004076C8">
        <w:rPr>
          <w:rFonts w:ascii="Times New Roman" w:hAnsi="Times New Roman" w:cs="Times New Roman"/>
        </w:rPr>
        <w:t xml:space="preserve">, </w:t>
      </w:r>
      <w:r w:rsidR="004076C8" w:rsidRPr="004076C8">
        <w:rPr>
          <w:rFonts w:ascii="Times New Roman" w:hAnsi="Times New Roman" w:cs="Times New Roman"/>
          <w:i/>
          <w:iCs/>
        </w:rPr>
        <w:t>8</w:t>
      </w:r>
      <w:r w:rsidR="004076C8" w:rsidRPr="004076C8">
        <w:rPr>
          <w:rFonts w:ascii="Times New Roman" w:hAnsi="Times New Roman" w:cs="Times New Roman"/>
        </w:rPr>
        <w:t xml:space="preserve"> (11), 2913–2928. https://doi.org/10.1039/D1MH00748C.</w:t>
      </w:r>
    </w:p>
    <w:p w14:paraId="3E7B1043" w14:textId="77777777" w:rsidR="004076C8" w:rsidRPr="004076C8" w:rsidRDefault="004076C8" w:rsidP="004076C8">
      <w:pPr>
        <w:pStyle w:val="Bibliography"/>
        <w:rPr>
          <w:rFonts w:ascii="Times New Roman" w:hAnsi="Times New Roman" w:cs="Times New Roman"/>
        </w:rPr>
      </w:pPr>
      <w:r w:rsidRPr="004076C8">
        <w:rPr>
          <w:rFonts w:ascii="Times New Roman" w:hAnsi="Times New Roman" w:cs="Times New Roman"/>
        </w:rPr>
        <w:t>(2)</w:t>
      </w:r>
      <w:r w:rsidRPr="004076C8">
        <w:rPr>
          <w:rFonts w:ascii="Times New Roman" w:hAnsi="Times New Roman" w:cs="Times New Roman"/>
        </w:rPr>
        <w:tab/>
        <w:t xml:space="preserve">Wang, J.; Yamada, Y.; </w:t>
      </w:r>
      <w:proofErr w:type="spellStart"/>
      <w:r w:rsidRPr="004076C8">
        <w:rPr>
          <w:rFonts w:ascii="Times New Roman" w:hAnsi="Times New Roman" w:cs="Times New Roman"/>
        </w:rPr>
        <w:t>Sodeyama</w:t>
      </w:r>
      <w:proofErr w:type="spellEnd"/>
      <w:r w:rsidRPr="004076C8">
        <w:rPr>
          <w:rFonts w:ascii="Times New Roman" w:hAnsi="Times New Roman" w:cs="Times New Roman"/>
        </w:rPr>
        <w:t xml:space="preserve">, K.; Chiang, C. H.; Tateyama, Y.; Yamada, A. </w:t>
      </w:r>
      <w:proofErr w:type="spellStart"/>
      <w:r w:rsidRPr="004076C8">
        <w:rPr>
          <w:rFonts w:ascii="Times New Roman" w:hAnsi="Times New Roman" w:cs="Times New Roman"/>
        </w:rPr>
        <w:t>Superconcentrated</w:t>
      </w:r>
      <w:proofErr w:type="spellEnd"/>
      <w:r w:rsidRPr="004076C8">
        <w:rPr>
          <w:rFonts w:ascii="Times New Roman" w:hAnsi="Times New Roman" w:cs="Times New Roman"/>
        </w:rPr>
        <w:t xml:space="preserve"> Electrolytes for a High-Voltage Lithium-Ion Battery. </w:t>
      </w:r>
      <w:r w:rsidRPr="004076C8">
        <w:rPr>
          <w:rFonts w:ascii="Times New Roman" w:hAnsi="Times New Roman" w:cs="Times New Roman"/>
          <w:i/>
          <w:iCs/>
        </w:rPr>
        <w:t xml:space="preserve">Nat </w:t>
      </w:r>
      <w:proofErr w:type="spellStart"/>
      <w:r w:rsidRPr="004076C8">
        <w:rPr>
          <w:rFonts w:ascii="Times New Roman" w:hAnsi="Times New Roman" w:cs="Times New Roman"/>
          <w:i/>
          <w:iCs/>
        </w:rPr>
        <w:t>Commun</w:t>
      </w:r>
      <w:proofErr w:type="spellEnd"/>
      <w:r w:rsidRPr="004076C8">
        <w:rPr>
          <w:rFonts w:ascii="Times New Roman" w:hAnsi="Times New Roman" w:cs="Times New Roman"/>
        </w:rPr>
        <w:t xml:space="preserve"> </w:t>
      </w:r>
      <w:r w:rsidRPr="004076C8">
        <w:rPr>
          <w:rFonts w:ascii="Times New Roman" w:hAnsi="Times New Roman" w:cs="Times New Roman"/>
          <w:b/>
          <w:bCs/>
        </w:rPr>
        <w:t>2016</w:t>
      </w:r>
      <w:r w:rsidRPr="004076C8">
        <w:rPr>
          <w:rFonts w:ascii="Times New Roman" w:hAnsi="Times New Roman" w:cs="Times New Roman"/>
        </w:rPr>
        <w:t xml:space="preserve">, </w:t>
      </w:r>
      <w:r w:rsidRPr="004076C8">
        <w:rPr>
          <w:rFonts w:ascii="Times New Roman" w:hAnsi="Times New Roman" w:cs="Times New Roman"/>
          <w:i/>
          <w:iCs/>
        </w:rPr>
        <w:t>7</w:t>
      </w:r>
      <w:r w:rsidRPr="004076C8">
        <w:rPr>
          <w:rFonts w:ascii="Times New Roman" w:hAnsi="Times New Roman" w:cs="Times New Roman"/>
        </w:rPr>
        <w:t xml:space="preserve"> (1), 12032. https://doi.org/10.1038/ncomms12032.</w:t>
      </w:r>
    </w:p>
    <w:p w14:paraId="122BA14D" w14:textId="77777777" w:rsidR="004076C8" w:rsidRPr="004076C8" w:rsidRDefault="004076C8" w:rsidP="004076C8">
      <w:pPr>
        <w:pStyle w:val="Bibliography"/>
        <w:rPr>
          <w:rFonts w:ascii="Times New Roman" w:hAnsi="Times New Roman" w:cs="Times New Roman"/>
        </w:rPr>
      </w:pPr>
      <w:r w:rsidRPr="004076C8">
        <w:rPr>
          <w:rFonts w:ascii="Times New Roman" w:hAnsi="Times New Roman" w:cs="Times New Roman"/>
        </w:rPr>
        <w:t>(3)</w:t>
      </w:r>
      <w:r w:rsidRPr="004076C8">
        <w:rPr>
          <w:rFonts w:ascii="Times New Roman" w:hAnsi="Times New Roman" w:cs="Times New Roman"/>
        </w:rPr>
        <w:tab/>
        <w:t xml:space="preserve">Yamada, Y.; Wang, J.; Ko, S.; Watanabe, E.; Yamada, A. </w:t>
      </w:r>
      <w:proofErr w:type="gramStart"/>
      <w:r w:rsidRPr="004076C8">
        <w:rPr>
          <w:rFonts w:ascii="Times New Roman" w:hAnsi="Times New Roman" w:cs="Times New Roman"/>
        </w:rPr>
        <w:t>Advances</w:t>
      </w:r>
      <w:proofErr w:type="gramEnd"/>
      <w:r w:rsidRPr="004076C8">
        <w:rPr>
          <w:rFonts w:ascii="Times New Roman" w:hAnsi="Times New Roman" w:cs="Times New Roman"/>
        </w:rPr>
        <w:t xml:space="preserve"> and Issues in Developing Salt-Concentrated Battery Electrolytes. </w:t>
      </w:r>
      <w:r w:rsidRPr="004076C8">
        <w:rPr>
          <w:rFonts w:ascii="Times New Roman" w:hAnsi="Times New Roman" w:cs="Times New Roman"/>
          <w:i/>
          <w:iCs/>
        </w:rPr>
        <w:t>Nat Energy</w:t>
      </w:r>
      <w:r w:rsidRPr="004076C8">
        <w:rPr>
          <w:rFonts w:ascii="Times New Roman" w:hAnsi="Times New Roman" w:cs="Times New Roman"/>
        </w:rPr>
        <w:t xml:space="preserve"> </w:t>
      </w:r>
      <w:r w:rsidRPr="004076C8">
        <w:rPr>
          <w:rFonts w:ascii="Times New Roman" w:hAnsi="Times New Roman" w:cs="Times New Roman"/>
          <w:b/>
          <w:bCs/>
        </w:rPr>
        <w:t>2019</w:t>
      </w:r>
      <w:r w:rsidRPr="004076C8">
        <w:rPr>
          <w:rFonts w:ascii="Times New Roman" w:hAnsi="Times New Roman" w:cs="Times New Roman"/>
        </w:rPr>
        <w:t xml:space="preserve">, </w:t>
      </w:r>
      <w:r w:rsidRPr="004076C8">
        <w:rPr>
          <w:rFonts w:ascii="Times New Roman" w:hAnsi="Times New Roman" w:cs="Times New Roman"/>
          <w:i/>
          <w:iCs/>
        </w:rPr>
        <w:t>4</w:t>
      </w:r>
      <w:r w:rsidRPr="004076C8">
        <w:rPr>
          <w:rFonts w:ascii="Times New Roman" w:hAnsi="Times New Roman" w:cs="Times New Roman"/>
        </w:rPr>
        <w:t xml:space="preserve"> (4), 269–280. https://doi.org/10.1038/s41560-019-0336-z.</w:t>
      </w:r>
    </w:p>
    <w:p w14:paraId="2ED7BAF9" w14:textId="77777777" w:rsidR="004076C8" w:rsidRPr="004076C8" w:rsidRDefault="004076C8" w:rsidP="004076C8">
      <w:pPr>
        <w:pStyle w:val="Bibliography"/>
        <w:rPr>
          <w:rFonts w:ascii="Times New Roman" w:hAnsi="Times New Roman" w:cs="Times New Roman"/>
        </w:rPr>
      </w:pPr>
      <w:r w:rsidRPr="004076C8">
        <w:rPr>
          <w:rFonts w:ascii="Times New Roman" w:hAnsi="Times New Roman" w:cs="Times New Roman"/>
        </w:rPr>
        <w:t>(4)</w:t>
      </w:r>
      <w:r w:rsidRPr="004076C8">
        <w:rPr>
          <w:rFonts w:ascii="Times New Roman" w:hAnsi="Times New Roman" w:cs="Times New Roman"/>
        </w:rPr>
        <w:tab/>
        <w:t xml:space="preserve">Moon, J.; Kim, D. O.; Bekaert, L.; Song, M.; Chung, J.; Lee, D.; </w:t>
      </w:r>
      <w:proofErr w:type="spellStart"/>
      <w:r w:rsidRPr="004076C8">
        <w:rPr>
          <w:rFonts w:ascii="Times New Roman" w:hAnsi="Times New Roman" w:cs="Times New Roman"/>
        </w:rPr>
        <w:t>Hubin</w:t>
      </w:r>
      <w:proofErr w:type="spellEnd"/>
      <w:r w:rsidRPr="004076C8">
        <w:rPr>
          <w:rFonts w:ascii="Times New Roman" w:hAnsi="Times New Roman" w:cs="Times New Roman"/>
        </w:rPr>
        <w:t xml:space="preserve">, A.; Lim, J. Non-Fluorinated Non-Solvating Cosolvent Enabling Superior Performance of Lithium Metal Negative Electrode Battery. </w:t>
      </w:r>
      <w:r w:rsidRPr="004076C8">
        <w:rPr>
          <w:rFonts w:ascii="Times New Roman" w:hAnsi="Times New Roman" w:cs="Times New Roman"/>
          <w:i/>
          <w:iCs/>
        </w:rPr>
        <w:t xml:space="preserve">Nat </w:t>
      </w:r>
      <w:proofErr w:type="spellStart"/>
      <w:r w:rsidRPr="004076C8">
        <w:rPr>
          <w:rFonts w:ascii="Times New Roman" w:hAnsi="Times New Roman" w:cs="Times New Roman"/>
          <w:i/>
          <w:iCs/>
        </w:rPr>
        <w:t>Commun</w:t>
      </w:r>
      <w:proofErr w:type="spellEnd"/>
      <w:r w:rsidRPr="004076C8">
        <w:rPr>
          <w:rFonts w:ascii="Times New Roman" w:hAnsi="Times New Roman" w:cs="Times New Roman"/>
        </w:rPr>
        <w:t xml:space="preserve"> </w:t>
      </w:r>
      <w:r w:rsidRPr="004076C8">
        <w:rPr>
          <w:rFonts w:ascii="Times New Roman" w:hAnsi="Times New Roman" w:cs="Times New Roman"/>
          <w:b/>
          <w:bCs/>
        </w:rPr>
        <w:t>2022</w:t>
      </w:r>
      <w:r w:rsidRPr="004076C8">
        <w:rPr>
          <w:rFonts w:ascii="Times New Roman" w:hAnsi="Times New Roman" w:cs="Times New Roman"/>
        </w:rPr>
        <w:t xml:space="preserve">, </w:t>
      </w:r>
      <w:r w:rsidRPr="004076C8">
        <w:rPr>
          <w:rFonts w:ascii="Times New Roman" w:hAnsi="Times New Roman" w:cs="Times New Roman"/>
          <w:i/>
          <w:iCs/>
        </w:rPr>
        <w:t>13</w:t>
      </w:r>
      <w:r w:rsidRPr="004076C8">
        <w:rPr>
          <w:rFonts w:ascii="Times New Roman" w:hAnsi="Times New Roman" w:cs="Times New Roman"/>
        </w:rPr>
        <w:t xml:space="preserve"> (1), 4538. https://doi.org/10.1038/s41467-022-32192-5.</w:t>
      </w:r>
    </w:p>
    <w:p w14:paraId="252CBE8C" w14:textId="77777777" w:rsidR="004076C8" w:rsidRPr="004076C8" w:rsidRDefault="004076C8" w:rsidP="004076C8">
      <w:pPr>
        <w:pStyle w:val="Bibliography"/>
        <w:rPr>
          <w:rFonts w:ascii="Times New Roman" w:hAnsi="Times New Roman" w:cs="Times New Roman"/>
        </w:rPr>
      </w:pPr>
      <w:r w:rsidRPr="004076C8">
        <w:rPr>
          <w:rFonts w:ascii="Times New Roman" w:hAnsi="Times New Roman" w:cs="Times New Roman"/>
        </w:rPr>
        <w:t>(5)</w:t>
      </w:r>
      <w:r w:rsidRPr="004076C8">
        <w:rPr>
          <w:rFonts w:ascii="Times New Roman" w:hAnsi="Times New Roman" w:cs="Times New Roman"/>
        </w:rPr>
        <w:tab/>
        <w:t xml:space="preserve">Liu, K.; Wang, Z.; Shi, L.; </w:t>
      </w:r>
      <w:proofErr w:type="spellStart"/>
      <w:r w:rsidRPr="004076C8">
        <w:rPr>
          <w:rFonts w:ascii="Times New Roman" w:hAnsi="Times New Roman" w:cs="Times New Roman"/>
        </w:rPr>
        <w:t>Jungsuttiwong</w:t>
      </w:r>
      <w:proofErr w:type="spellEnd"/>
      <w:r w:rsidRPr="004076C8">
        <w:rPr>
          <w:rFonts w:ascii="Times New Roman" w:hAnsi="Times New Roman" w:cs="Times New Roman"/>
        </w:rPr>
        <w:t xml:space="preserve">, S.; Yuan, S. Ionic Liquids for High Performance Lithium Metal Batteries. </w:t>
      </w:r>
      <w:r w:rsidRPr="004076C8">
        <w:rPr>
          <w:rFonts w:ascii="Times New Roman" w:hAnsi="Times New Roman" w:cs="Times New Roman"/>
          <w:i/>
          <w:iCs/>
        </w:rPr>
        <w:t>Journal of Energy Chemistry</w:t>
      </w:r>
      <w:r w:rsidRPr="004076C8">
        <w:rPr>
          <w:rFonts w:ascii="Times New Roman" w:hAnsi="Times New Roman" w:cs="Times New Roman"/>
        </w:rPr>
        <w:t xml:space="preserve"> </w:t>
      </w:r>
      <w:r w:rsidRPr="004076C8">
        <w:rPr>
          <w:rFonts w:ascii="Times New Roman" w:hAnsi="Times New Roman" w:cs="Times New Roman"/>
          <w:b/>
          <w:bCs/>
        </w:rPr>
        <w:t>2021</w:t>
      </w:r>
      <w:r w:rsidRPr="004076C8">
        <w:rPr>
          <w:rFonts w:ascii="Times New Roman" w:hAnsi="Times New Roman" w:cs="Times New Roman"/>
        </w:rPr>
        <w:t xml:space="preserve">, </w:t>
      </w:r>
      <w:r w:rsidRPr="004076C8">
        <w:rPr>
          <w:rFonts w:ascii="Times New Roman" w:hAnsi="Times New Roman" w:cs="Times New Roman"/>
          <w:i/>
          <w:iCs/>
        </w:rPr>
        <w:t>59</w:t>
      </w:r>
      <w:r w:rsidRPr="004076C8">
        <w:rPr>
          <w:rFonts w:ascii="Times New Roman" w:hAnsi="Times New Roman" w:cs="Times New Roman"/>
        </w:rPr>
        <w:t>, 320–333. https://doi.org/10.1016/j.jechem.2020.11.017.</w:t>
      </w:r>
    </w:p>
    <w:p w14:paraId="4096BD67" w14:textId="77777777" w:rsidR="004076C8" w:rsidRPr="004076C8" w:rsidRDefault="004076C8" w:rsidP="004076C8">
      <w:pPr>
        <w:pStyle w:val="Bibliography"/>
        <w:rPr>
          <w:rFonts w:ascii="Times New Roman" w:hAnsi="Times New Roman" w:cs="Times New Roman"/>
        </w:rPr>
      </w:pPr>
      <w:r w:rsidRPr="004076C8">
        <w:rPr>
          <w:rFonts w:ascii="Times New Roman" w:hAnsi="Times New Roman" w:cs="Times New Roman"/>
        </w:rPr>
        <w:t>(6)</w:t>
      </w:r>
      <w:r w:rsidRPr="004076C8">
        <w:rPr>
          <w:rFonts w:ascii="Times New Roman" w:hAnsi="Times New Roman" w:cs="Times New Roman"/>
        </w:rPr>
        <w:tab/>
        <w:t xml:space="preserve">Yang, B.; Li, C.; Zhou, J.; Liu, J.; Zhang, Q. Pyrrolidinium-Based Ionic Liquid Electrolyte with Organic Additive and </w:t>
      </w:r>
      <w:proofErr w:type="spellStart"/>
      <w:r w:rsidRPr="004076C8">
        <w:rPr>
          <w:rFonts w:ascii="Times New Roman" w:hAnsi="Times New Roman" w:cs="Times New Roman"/>
        </w:rPr>
        <w:t>LiTFSI</w:t>
      </w:r>
      <w:proofErr w:type="spellEnd"/>
      <w:r w:rsidRPr="004076C8">
        <w:rPr>
          <w:rFonts w:ascii="Times New Roman" w:hAnsi="Times New Roman" w:cs="Times New Roman"/>
        </w:rPr>
        <w:t xml:space="preserve"> for High-Safety Lithium-Ion Batteries. </w:t>
      </w:r>
      <w:proofErr w:type="spellStart"/>
      <w:r w:rsidRPr="004076C8">
        <w:rPr>
          <w:rFonts w:ascii="Times New Roman" w:hAnsi="Times New Roman" w:cs="Times New Roman"/>
          <w:i/>
          <w:iCs/>
        </w:rPr>
        <w:t>Electrochimica</w:t>
      </w:r>
      <w:proofErr w:type="spellEnd"/>
      <w:r w:rsidRPr="004076C8">
        <w:rPr>
          <w:rFonts w:ascii="Times New Roman" w:hAnsi="Times New Roman" w:cs="Times New Roman"/>
          <w:i/>
          <w:iCs/>
        </w:rPr>
        <w:t xml:space="preserve"> Acta</w:t>
      </w:r>
      <w:r w:rsidRPr="004076C8">
        <w:rPr>
          <w:rFonts w:ascii="Times New Roman" w:hAnsi="Times New Roman" w:cs="Times New Roman"/>
        </w:rPr>
        <w:t xml:space="preserve"> </w:t>
      </w:r>
      <w:r w:rsidRPr="004076C8">
        <w:rPr>
          <w:rFonts w:ascii="Times New Roman" w:hAnsi="Times New Roman" w:cs="Times New Roman"/>
          <w:b/>
          <w:bCs/>
        </w:rPr>
        <w:t>2014</w:t>
      </w:r>
      <w:r w:rsidRPr="004076C8">
        <w:rPr>
          <w:rFonts w:ascii="Times New Roman" w:hAnsi="Times New Roman" w:cs="Times New Roman"/>
        </w:rPr>
        <w:t xml:space="preserve">, </w:t>
      </w:r>
      <w:r w:rsidRPr="004076C8">
        <w:rPr>
          <w:rFonts w:ascii="Times New Roman" w:hAnsi="Times New Roman" w:cs="Times New Roman"/>
          <w:i/>
          <w:iCs/>
        </w:rPr>
        <w:t>148</w:t>
      </w:r>
      <w:r w:rsidRPr="004076C8">
        <w:rPr>
          <w:rFonts w:ascii="Times New Roman" w:hAnsi="Times New Roman" w:cs="Times New Roman"/>
        </w:rPr>
        <w:t>, 39–45. https://doi.org/10.1016/j.electacta.2014.10.001.</w:t>
      </w:r>
    </w:p>
    <w:p w14:paraId="71ECE943" w14:textId="77777777" w:rsidR="004076C8" w:rsidRPr="004076C8" w:rsidRDefault="004076C8" w:rsidP="004076C8">
      <w:pPr>
        <w:pStyle w:val="Bibliography"/>
        <w:rPr>
          <w:rFonts w:ascii="Times New Roman" w:hAnsi="Times New Roman" w:cs="Times New Roman"/>
        </w:rPr>
      </w:pPr>
      <w:r w:rsidRPr="004076C8">
        <w:rPr>
          <w:rFonts w:ascii="Times New Roman" w:hAnsi="Times New Roman" w:cs="Times New Roman"/>
        </w:rPr>
        <w:t>(7)</w:t>
      </w:r>
      <w:r w:rsidRPr="004076C8">
        <w:rPr>
          <w:rFonts w:ascii="Times New Roman" w:hAnsi="Times New Roman" w:cs="Times New Roman"/>
        </w:rPr>
        <w:tab/>
        <w:t xml:space="preserve">Suo, L.; Borodin, O.; Gao, T.; Olguin, M.; Ho, J.; Fan, X.; Luo, C.; Wang, C.; Xu, K. “Water-in-Salt” Electrolyte Enables High-Voltage Aqueous Lithium-Ion Chemistries. </w:t>
      </w:r>
      <w:r w:rsidRPr="004076C8">
        <w:rPr>
          <w:rFonts w:ascii="Times New Roman" w:hAnsi="Times New Roman" w:cs="Times New Roman"/>
          <w:i/>
          <w:iCs/>
        </w:rPr>
        <w:t>Science</w:t>
      </w:r>
      <w:r w:rsidRPr="004076C8">
        <w:rPr>
          <w:rFonts w:ascii="Times New Roman" w:hAnsi="Times New Roman" w:cs="Times New Roman"/>
        </w:rPr>
        <w:t xml:space="preserve"> </w:t>
      </w:r>
      <w:r w:rsidRPr="004076C8">
        <w:rPr>
          <w:rFonts w:ascii="Times New Roman" w:hAnsi="Times New Roman" w:cs="Times New Roman"/>
          <w:b/>
          <w:bCs/>
        </w:rPr>
        <w:t>2015</w:t>
      </w:r>
      <w:r w:rsidRPr="004076C8">
        <w:rPr>
          <w:rFonts w:ascii="Times New Roman" w:hAnsi="Times New Roman" w:cs="Times New Roman"/>
        </w:rPr>
        <w:t xml:space="preserve">, </w:t>
      </w:r>
      <w:r w:rsidRPr="004076C8">
        <w:rPr>
          <w:rFonts w:ascii="Times New Roman" w:hAnsi="Times New Roman" w:cs="Times New Roman"/>
          <w:i/>
          <w:iCs/>
        </w:rPr>
        <w:t>350</w:t>
      </w:r>
      <w:r w:rsidRPr="004076C8">
        <w:rPr>
          <w:rFonts w:ascii="Times New Roman" w:hAnsi="Times New Roman" w:cs="Times New Roman"/>
        </w:rPr>
        <w:t xml:space="preserve"> (6263), 938–943. https://doi.org/10.1126/science.aab1595.</w:t>
      </w:r>
    </w:p>
    <w:p w14:paraId="72473C29" w14:textId="0FF5D9F8" w:rsidR="00B5138F" w:rsidRPr="00552B20" w:rsidRDefault="004076C8" w:rsidP="00811191">
      <w:pPr>
        <w:spacing w:line="288" w:lineRule="auto"/>
        <w:rPr>
          <w:rFonts w:ascii="Times New Roman" w:hAnsi="Times New Roman" w:cs="Times New Roman"/>
        </w:rPr>
      </w:pPr>
      <w:r>
        <w:rPr>
          <w:rFonts w:ascii="Times New Roman" w:hAnsi="Times New Roman" w:cs="Times New Roman"/>
        </w:rPr>
        <w:fldChar w:fldCharType="end"/>
      </w:r>
    </w:p>
    <w:sectPr w:rsidR="00B5138F" w:rsidRPr="00552B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B0B160" w14:textId="77777777" w:rsidR="0001080C" w:rsidRDefault="0001080C" w:rsidP="005E302B">
      <w:pPr>
        <w:spacing w:after="0" w:line="240" w:lineRule="auto"/>
      </w:pPr>
      <w:r>
        <w:separator/>
      </w:r>
    </w:p>
  </w:endnote>
  <w:endnote w:type="continuationSeparator" w:id="0">
    <w:p w14:paraId="5E4DF5C2" w14:textId="77777777" w:rsidR="0001080C" w:rsidRDefault="0001080C" w:rsidP="005E30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E191C" w14:textId="77777777" w:rsidR="0001080C" w:rsidRDefault="0001080C" w:rsidP="005E302B">
      <w:pPr>
        <w:spacing w:after="0" w:line="240" w:lineRule="auto"/>
      </w:pPr>
      <w:r>
        <w:separator/>
      </w:r>
    </w:p>
  </w:footnote>
  <w:footnote w:type="continuationSeparator" w:id="0">
    <w:p w14:paraId="3C78DC34" w14:textId="77777777" w:rsidR="0001080C" w:rsidRDefault="0001080C" w:rsidP="005E302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B20"/>
    <w:rsid w:val="0001080C"/>
    <w:rsid w:val="00023B75"/>
    <w:rsid w:val="00142E9D"/>
    <w:rsid w:val="00173BEA"/>
    <w:rsid w:val="001F1B9D"/>
    <w:rsid w:val="00204628"/>
    <w:rsid w:val="00214B68"/>
    <w:rsid w:val="002B12BD"/>
    <w:rsid w:val="002D2F87"/>
    <w:rsid w:val="00355F07"/>
    <w:rsid w:val="003765A6"/>
    <w:rsid w:val="003C6805"/>
    <w:rsid w:val="004076C8"/>
    <w:rsid w:val="00456AAB"/>
    <w:rsid w:val="0049469D"/>
    <w:rsid w:val="00535EFC"/>
    <w:rsid w:val="00552B20"/>
    <w:rsid w:val="005E302B"/>
    <w:rsid w:val="00654CF8"/>
    <w:rsid w:val="006F544E"/>
    <w:rsid w:val="00701870"/>
    <w:rsid w:val="0072276D"/>
    <w:rsid w:val="00811191"/>
    <w:rsid w:val="008444B7"/>
    <w:rsid w:val="0085605E"/>
    <w:rsid w:val="00896FA2"/>
    <w:rsid w:val="008D7027"/>
    <w:rsid w:val="0099543A"/>
    <w:rsid w:val="009A7E06"/>
    <w:rsid w:val="00B066B4"/>
    <w:rsid w:val="00B21297"/>
    <w:rsid w:val="00B5138F"/>
    <w:rsid w:val="00BA109E"/>
    <w:rsid w:val="00C83649"/>
    <w:rsid w:val="00E007B6"/>
    <w:rsid w:val="00E12698"/>
    <w:rsid w:val="00E5567D"/>
    <w:rsid w:val="00EF64EF"/>
    <w:rsid w:val="00F06101"/>
    <w:rsid w:val="00F545FB"/>
    <w:rsid w:val="00F65260"/>
    <w:rsid w:val="00FB7A5D"/>
    <w:rsid w:val="00FC33D0"/>
    <w:rsid w:val="00FF33A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CEAE0"/>
  <w15:chartTrackingRefBased/>
  <w15:docId w15:val="{1D297401-8201-4A13-8400-46649A6C8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ko-K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65260"/>
    <w:rPr>
      <w:color w:val="0563C1" w:themeColor="hyperlink"/>
      <w:u w:val="single"/>
    </w:rPr>
  </w:style>
  <w:style w:type="character" w:styleId="UnresolvedMention">
    <w:name w:val="Unresolved Mention"/>
    <w:basedOn w:val="DefaultParagraphFont"/>
    <w:uiPriority w:val="99"/>
    <w:semiHidden/>
    <w:unhideWhenUsed/>
    <w:rsid w:val="00F65260"/>
    <w:rPr>
      <w:color w:val="605E5C"/>
      <w:shd w:val="clear" w:color="auto" w:fill="E1DFDD"/>
    </w:rPr>
  </w:style>
  <w:style w:type="paragraph" w:styleId="FootnoteText">
    <w:name w:val="footnote text"/>
    <w:basedOn w:val="Normal"/>
    <w:link w:val="FootnoteTextChar"/>
    <w:uiPriority w:val="99"/>
    <w:semiHidden/>
    <w:unhideWhenUsed/>
    <w:rsid w:val="005E302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E302B"/>
    <w:rPr>
      <w:sz w:val="20"/>
      <w:szCs w:val="20"/>
    </w:rPr>
  </w:style>
  <w:style w:type="character" w:styleId="FootnoteReference">
    <w:name w:val="footnote reference"/>
    <w:basedOn w:val="DefaultParagraphFont"/>
    <w:uiPriority w:val="99"/>
    <w:semiHidden/>
    <w:unhideWhenUsed/>
    <w:rsid w:val="005E302B"/>
    <w:rPr>
      <w:vertAlign w:val="superscript"/>
    </w:rPr>
  </w:style>
  <w:style w:type="paragraph" w:styleId="Caption">
    <w:name w:val="caption"/>
    <w:basedOn w:val="Normal"/>
    <w:next w:val="Normal"/>
    <w:uiPriority w:val="35"/>
    <w:unhideWhenUsed/>
    <w:qFormat/>
    <w:rsid w:val="0072276D"/>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72276D"/>
    <w:rPr>
      <w:color w:val="954F72" w:themeColor="followedHyperlink"/>
      <w:u w:val="single"/>
    </w:rPr>
  </w:style>
  <w:style w:type="character" w:styleId="EndnoteReference">
    <w:name w:val="endnote reference"/>
    <w:basedOn w:val="DefaultParagraphFont"/>
    <w:uiPriority w:val="99"/>
    <w:semiHidden/>
    <w:unhideWhenUsed/>
    <w:rsid w:val="00456AAB"/>
    <w:rPr>
      <w:vertAlign w:val="superscript"/>
    </w:rPr>
  </w:style>
  <w:style w:type="paragraph" w:styleId="Bibliography">
    <w:name w:val="Bibliography"/>
    <w:basedOn w:val="Normal"/>
    <w:next w:val="Normal"/>
    <w:uiPriority w:val="37"/>
    <w:unhideWhenUsed/>
    <w:rsid w:val="004076C8"/>
    <w:pPr>
      <w:tabs>
        <w:tab w:val="left" w:pos="380"/>
      </w:tabs>
      <w:spacing w:after="0" w:line="240" w:lineRule="auto"/>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432</TotalTime>
  <Pages>9</Pages>
  <Words>5457</Words>
  <Characters>31106</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Dong Ok</dc:creator>
  <cp:keywords/>
  <dc:description/>
  <cp:lastModifiedBy>Dong Ok Kim</cp:lastModifiedBy>
  <cp:revision>10</cp:revision>
  <dcterms:created xsi:type="dcterms:W3CDTF">2023-11-28T20:47:00Z</dcterms:created>
  <dcterms:modified xsi:type="dcterms:W3CDTF">2023-12-04T16:39:00Z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id="wYcf43U6"/&gt;&lt;style id="http://www.zotero.org/styles/american-chemical-society" hasBibliography="1" bibliographyStyleHasBeenSet="1"/&gt;&lt;prefs&gt;&lt;pref name="fieldType" value="Field"/&gt;&lt;/prefs&gt;&lt;/data&gt;</vt:lpwstr>
  </property>
  <property fmtid="{D5CDD505-2E9C-101B-9397-08002B2CF9AE}" pid="3" name="ZOTERO_PREF_2">
    <vt:lpwstr/>
  </property>
</Properties>
</file>