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82B8A" w14:textId="127DA147" w:rsidR="00A11448" w:rsidRDefault="00DB4C23" w:rsidP="00670516">
      <w:pPr>
        <w:jc w:val="center"/>
        <w:rPr>
          <w:rFonts w:ascii="Arial" w:hAnsi="Arial" w:cs="Arial"/>
          <w:b/>
          <w:bCs/>
          <w:color w:val="000000"/>
          <w:shd w:val="clear" w:color="auto" w:fill="FFFFFF"/>
        </w:rPr>
      </w:pPr>
      <w:r w:rsidRPr="00670516">
        <w:rPr>
          <w:rFonts w:ascii="Arial" w:hAnsi="Arial" w:cs="Arial"/>
          <w:b/>
          <w:bCs/>
          <w:color w:val="000000"/>
          <w:shd w:val="clear" w:color="auto" w:fill="FFFFFF"/>
        </w:rPr>
        <w:t>Application of Redox-active Polymers (RAPs) for energy Storage in Redox-Flow Batteries</w:t>
      </w:r>
      <w:r w:rsidR="00670516">
        <w:rPr>
          <w:rFonts w:ascii="Arial" w:hAnsi="Arial" w:cs="Arial"/>
          <w:b/>
          <w:bCs/>
          <w:color w:val="000000"/>
          <w:shd w:val="clear" w:color="auto" w:fill="FFFFFF"/>
        </w:rPr>
        <w:t xml:space="preserve"> (RFBs)</w:t>
      </w:r>
    </w:p>
    <w:p w14:paraId="4F29D3A6" w14:textId="7FA89DE6" w:rsidR="00670516" w:rsidRDefault="00670516" w:rsidP="00670516">
      <w:pPr>
        <w:jc w:val="center"/>
        <w:rPr>
          <w:rFonts w:ascii="Arial" w:hAnsi="Arial" w:cs="Arial"/>
        </w:rPr>
      </w:pPr>
      <w:r>
        <w:rPr>
          <w:rFonts w:ascii="Arial" w:hAnsi="Arial" w:cs="Arial"/>
        </w:rPr>
        <w:t>Zirui Wang</w:t>
      </w:r>
    </w:p>
    <w:p w14:paraId="5EA9A377" w14:textId="75DC7A66" w:rsidR="00670516" w:rsidRPr="00905C9C" w:rsidRDefault="005747A5" w:rsidP="00670516">
      <w:pPr>
        <w:jc w:val="center"/>
        <w:rPr>
          <w:rFonts w:ascii="Arial" w:hAnsi="Arial" w:cs="Arial"/>
          <w:color w:val="000000" w:themeColor="text1"/>
        </w:rPr>
      </w:pPr>
      <w:hyperlink r:id="rId5" w:history="1">
        <w:r w:rsidR="00905C9C" w:rsidRPr="00905C9C">
          <w:rPr>
            <w:rStyle w:val="Hyperlink"/>
            <w:rFonts w:ascii="Arial" w:hAnsi="Arial" w:cs="Arial"/>
            <w:color w:val="000000" w:themeColor="text1"/>
          </w:rPr>
          <w:t>ziruiw2@illinois.edu</w:t>
        </w:r>
      </w:hyperlink>
    </w:p>
    <w:p w14:paraId="7F61AD60" w14:textId="1536A53B" w:rsidR="00905C9C" w:rsidRDefault="00905C9C" w:rsidP="00670516">
      <w:pPr>
        <w:jc w:val="center"/>
        <w:rPr>
          <w:rFonts w:ascii="Arial" w:hAnsi="Arial" w:cs="Arial"/>
        </w:rPr>
      </w:pPr>
      <w:r>
        <w:rPr>
          <w:rFonts w:ascii="Arial" w:hAnsi="Arial" w:cs="Arial"/>
        </w:rPr>
        <w:t>University of Illinois, Urbana-Champaign</w:t>
      </w:r>
    </w:p>
    <w:p w14:paraId="43143ED4" w14:textId="4BED9C5A" w:rsidR="00905C9C" w:rsidRDefault="00905C9C" w:rsidP="00670516">
      <w:pPr>
        <w:jc w:val="center"/>
        <w:rPr>
          <w:rFonts w:ascii="Arial" w:hAnsi="Arial" w:cs="Arial"/>
        </w:rPr>
      </w:pPr>
      <w:r>
        <w:rPr>
          <w:rFonts w:ascii="Arial" w:hAnsi="Arial" w:cs="Arial"/>
        </w:rPr>
        <w:t>Term Paper: NPRE 498, Fall 2023</w:t>
      </w:r>
    </w:p>
    <w:p w14:paraId="4C0C5E1A" w14:textId="618DA3D6" w:rsidR="00905C9C" w:rsidRDefault="00905C9C" w:rsidP="00DD69D8">
      <w:pPr>
        <w:rPr>
          <w:rFonts w:ascii="Arial" w:hAnsi="Arial" w:cs="Arial"/>
        </w:rPr>
      </w:pPr>
    </w:p>
    <w:p w14:paraId="40DDE6BF" w14:textId="795E39F3" w:rsidR="00DD69D8" w:rsidRDefault="00DD69D8" w:rsidP="00DD69D8">
      <w:pPr>
        <w:rPr>
          <w:rFonts w:ascii="Arial" w:hAnsi="Arial" w:cs="Arial"/>
          <w:b/>
          <w:bCs/>
        </w:rPr>
      </w:pPr>
      <w:r>
        <w:rPr>
          <w:rFonts w:ascii="Arial" w:hAnsi="Arial" w:cs="Arial"/>
          <w:b/>
          <w:bCs/>
        </w:rPr>
        <w:t>Introduction</w:t>
      </w:r>
    </w:p>
    <w:p w14:paraId="7F264FFA" w14:textId="2B2E31F8" w:rsidR="00321A23" w:rsidRDefault="00C95990" w:rsidP="00DD69D8">
      <w:pPr>
        <w:rPr>
          <w:rFonts w:ascii="Arial" w:hAnsi="Arial" w:cs="Arial"/>
        </w:rPr>
      </w:pPr>
      <w:r>
        <w:rPr>
          <w:rFonts w:ascii="Arial" w:hAnsi="Arial" w:cs="Arial"/>
        </w:rPr>
        <w:t xml:space="preserve">Global warming is an imperative problem faced by human beings. According to the </w:t>
      </w:r>
      <w:r w:rsidR="004D0EEC">
        <w:rPr>
          <w:rFonts w:ascii="Arial" w:hAnsi="Arial" w:cs="Arial"/>
        </w:rPr>
        <w:t>2022 annual report of National Centers for Environmental Information</w:t>
      </w:r>
      <w:r w:rsidR="00321A23" w:rsidRPr="00321A23">
        <w:rPr>
          <w:rFonts w:ascii="Arial" w:hAnsi="Arial" w:cs="Arial"/>
          <w:b/>
          <w:bCs/>
          <w:vertAlign w:val="superscript"/>
        </w:rPr>
        <w:t>1</w:t>
      </w:r>
      <w:r w:rsidR="004D0EEC">
        <w:rPr>
          <w:rFonts w:ascii="Arial" w:hAnsi="Arial" w:cs="Arial"/>
        </w:rPr>
        <w:t xml:space="preserve">, </w:t>
      </w:r>
      <w:r w:rsidR="00405113">
        <w:rPr>
          <w:rFonts w:ascii="Arial" w:hAnsi="Arial" w:cs="Arial"/>
        </w:rPr>
        <w:t xml:space="preserve">2022 is the sixth warmest year since </w:t>
      </w:r>
      <w:r w:rsidR="00B31AC1">
        <w:rPr>
          <w:rFonts w:ascii="Arial" w:hAnsi="Arial" w:cs="Arial"/>
        </w:rPr>
        <w:t xml:space="preserve">global temperature recordings emerged in the 1800s. </w:t>
      </w:r>
      <w:r w:rsidR="000C31A0">
        <w:rPr>
          <w:rFonts w:ascii="Arial" w:hAnsi="Arial" w:cs="Arial"/>
        </w:rPr>
        <w:t xml:space="preserve">Furthermore, </w:t>
      </w:r>
      <w:r w:rsidR="00506F48">
        <w:rPr>
          <w:rFonts w:ascii="Arial" w:hAnsi="Arial" w:cs="Arial"/>
        </w:rPr>
        <w:t xml:space="preserve">the warmest ten years </w:t>
      </w:r>
      <w:r w:rsidR="008C3473">
        <w:rPr>
          <w:rFonts w:ascii="Arial" w:hAnsi="Arial" w:cs="Arial"/>
        </w:rPr>
        <w:t>in the history are all recorded after 2010</w:t>
      </w:r>
      <w:r w:rsidR="00760386">
        <w:rPr>
          <w:rFonts w:ascii="Arial" w:hAnsi="Arial" w:cs="Arial"/>
        </w:rPr>
        <w:t>,</w:t>
      </w:r>
      <w:r w:rsidR="00A97B68">
        <w:rPr>
          <w:rFonts w:ascii="Arial" w:hAnsi="Arial" w:cs="Arial"/>
        </w:rPr>
        <w:t xml:space="preserve"> and this fact emphasizes the </w:t>
      </w:r>
      <w:r w:rsidR="00321A23">
        <w:rPr>
          <w:rFonts w:ascii="Arial" w:hAnsi="Arial" w:cs="Arial"/>
        </w:rPr>
        <w:t>rapidness and severity of global warming.</w:t>
      </w:r>
    </w:p>
    <w:p w14:paraId="22E83558" w14:textId="77777777" w:rsidR="00386FC0" w:rsidRDefault="00386FC0" w:rsidP="00DD69D8">
      <w:pPr>
        <w:rPr>
          <w:rFonts w:ascii="Arial" w:hAnsi="Arial" w:cs="Arial"/>
        </w:rPr>
      </w:pPr>
    </w:p>
    <w:p w14:paraId="6D355D25" w14:textId="4E0E3B68" w:rsidR="00851330" w:rsidRDefault="00851330" w:rsidP="00DD69D8">
      <w:r>
        <w:fldChar w:fldCharType="begin"/>
      </w:r>
      <w:r>
        <w:instrText xml:space="preserve"> INCLUDEPICTURE "https://www.ncei.noaa.gov/monitoring-content/sotc/global/2022/dec/global-land-ocean-anomalies-202201-202212.png" \* MERGEFORMATINET </w:instrText>
      </w:r>
      <w:r>
        <w:fldChar w:fldCharType="separate"/>
      </w:r>
      <w:r>
        <w:rPr>
          <w:noProof/>
        </w:rPr>
        <w:drawing>
          <wp:inline distT="0" distB="0" distL="0" distR="0" wp14:anchorId="6DD42A0C" wp14:editId="7E8B75F6">
            <wp:extent cx="5943600" cy="2675255"/>
            <wp:effectExtent l="0" t="0" r="0" b="4445"/>
            <wp:docPr id="1831389492" name="Picture 1831389492" descr="A graph showing the growth of the stock mar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389492" name="Picture 1" descr="A graph showing the growth of the stock marke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675255"/>
                    </a:xfrm>
                    <a:prstGeom prst="rect">
                      <a:avLst/>
                    </a:prstGeom>
                    <a:noFill/>
                    <a:ln>
                      <a:noFill/>
                    </a:ln>
                  </pic:spPr>
                </pic:pic>
              </a:graphicData>
            </a:graphic>
          </wp:inline>
        </w:drawing>
      </w:r>
      <w:r>
        <w:fldChar w:fldCharType="end"/>
      </w:r>
    </w:p>
    <w:p w14:paraId="7FD3CE70" w14:textId="1FA21CAE" w:rsidR="00851330" w:rsidRPr="00851330" w:rsidRDefault="00851330" w:rsidP="00851330">
      <w:pPr>
        <w:jc w:val="center"/>
        <w:rPr>
          <w:rFonts w:ascii="Arial" w:hAnsi="Arial" w:cs="Arial"/>
          <w:i/>
          <w:iCs/>
        </w:rPr>
      </w:pPr>
      <w:r w:rsidRPr="00386FC0">
        <w:rPr>
          <w:rFonts w:ascii="Arial" w:hAnsi="Arial" w:cs="Arial"/>
          <w:b/>
          <w:bCs/>
          <w:i/>
          <w:iCs/>
        </w:rPr>
        <w:t>Figure 1:</w:t>
      </w:r>
      <w:r>
        <w:rPr>
          <w:rFonts w:ascii="Arial" w:hAnsi="Arial" w:cs="Arial"/>
          <w:i/>
          <w:iCs/>
        </w:rPr>
        <w:t xml:space="preserve"> The annual global temperature data since </w:t>
      </w:r>
      <w:r w:rsidR="00386FC0">
        <w:rPr>
          <w:rFonts w:ascii="Arial" w:hAnsi="Arial" w:cs="Arial"/>
          <w:i/>
          <w:iCs/>
        </w:rPr>
        <w:t>1880.</w:t>
      </w:r>
    </w:p>
    <w:p w14:paraId="63EE0F27" w14:textId="77777777" w:rsidR="00386FC0" w:rsidRDefault="00386FC0" w:rsidP="00DD69D8">
      <w:pPr>
        <w:rPr>
          <w:rFonts w:ascii="Arial" w:hAnsi="Arial" w:cs="Arial"/>
        </w:rPr>
      </w:pPr>
    </w:p>
    <w:p w14:paraId="16981816" w14:textId="61242352" w:rsidR="00321A23" w:rsidRDefault="00386FC0" w:rsidP="00DD69D8">
      <w:pPr>
        <w:rPr>
          <w:rFonts w:ascii="Arial" w:hAnsi="Arial" w:cs="Arial"/>
        </w:rPr>
      </w:pPr>
      <w:r>
        <w:rPr>
          <w:rFonts w:ascii="Arial" w:hAnsi="Arial" w:cs="Arial"/>
        </w:rPr>
        <w:t xml:space="preserve">It has been long since the concept of </w:t>
      </w:r>
      <w:r w:rsidR="00596BDA">
        <w:rPr>
          <w:rFonts w:ascii="Arial" w:hAnsi="Arial" w:cs="Arial"/>
        </w:rPr>
        <w:t xml:space="preserve">energy storage comes into place. Originally, energy storage </w:t>
      </w:r>
      <w:r w:rsidR="00C00A0D">
        <w:rPr>
          <w:rFonts w:ascii="Arial" w:hAnsi="Arial" w:cs="Arial"/>
        </w:rPr>
        <w:t>aims to improve the energy conversion efficiencies of power systems</w:t>
      </w:r>
      <w:r w:rsidR="00F2472D">
        <w:rPr>
          <w:rFonts w:ascii="Arial" w:hAnsi="Arial" w:cs="Arial"/>
        </w:rPr>
        <w:t xml:space="preserve">, </w:t>
      </w:r>
      <w:r w:rsidR="00C00A0D">
        <w:rPr>
          <w:rFonts w:ascii="Arial" w:hAnsi="Arial" w:cs="Arial"/>
        </w:rPr>
        <w:t xml:space="preserve"> such as nuclear power plants</w:t>
      </w:r>
      <w:r w:rsidR="00F2472D">
        <w:rPr>
          <w:rFonts w:ascii="Arial" w:hAnsi="Arial" w:cs="Arial"/>
        </w:rPr>
        <w:t xml:space="preserve">, by collecting and storing the energy </w:t>
      </w:r>
      <w:r w:rsidR="009914FC">
        <w:rPr>
          <w:rFonts w:ascii="Arial" w:hAnsi="Arial" w:cs="Arial"/>
        </w:rPr>
        <w:t>loss throughout the power generation process.</w:t>
      </w:r>
    </w:p>
    <w:p w14:paraId="784FD73F" w14:textId="555C9490" w:rsidR="00141D5D" w:rsidRDefault="00141D5D" w:rsidP="00DD69D8">
      <w:pPr>
        <w:rPr>
          <w:rFonts w:ascii="Arial" w:hAnsi="Arial" w:cs="Arial"/>
        </w:rPr>
      </w:pPr>
      <w:r>
        <w:rPr>
          <w:rFonts w:ascii="Arial" w:hAnsi="Arial" w:cs="Arial"/>
        </w:rPr>
        <w:t xml:space="preserve">However, energy storage nowadays </w:t>
      </w:r>
      <w:r w:rsidR="001D31A8">
        <w:rPr>
          <w:rFonts w:ascii="Arial" w:hAnsi="Arial" w:cs="Arial"/>
        </w:rPr>
        <w:t xml:space="preserve">also aims for </w:t>
      </w:r>
      <w:r w:rsidR="00364FD5">
        <w:rPr>
          <w:rFonts w:ascii="Arial" w:hAnsi="Arial" w:cs="Arial"/>
        </w:rPr>
        <w:t xml:space="preserve">providing </w:t>
      </w:r>
      <w:r w:rsidR="00087207">
        <w:rPr>
          <w:rFonts w:ascii="Arial" w:hAnsi="Arial" w:cs="Arial"/>
        </w:rPr>
        <w:t xml:space="preserve">a clean </w:t>
      </w:r>
      <w:r w:rsidR="009F5316">
        <w:rPr>
          <w:rFonts w:ascii="Arial" w:hAnsi="Arial" w:cs="Arial"/>
        </w:rPr>
        <w:t>energy source</w:t>
      </w:r>
      <w:r w:rsidR="00DF2CCE">
        <w:rPr>
          <w:rFonts w:ascii="Arial" w:hAnsi="Arial" w:cs="Arial"/>
        </w:rPr>
        <w:t xml:space="preserve">. </w:t>
      </w:r>
      <w:r w:rsidR="009F5316">
        <w:rPr>
          <w:rFonts w:ascii="Arial" w:hAnsi="Arial" w:cs="Arial"/>
        </w:rPr>
        <w:t xml:space="preserve">For instance, </w:t>
      </w:r>
      <w:r w:rsidR="004D41A9">
        <w:rPr>
          <w:rFonts w:ascii="Arial" w:hAnsi="Arial" w:cs="Arial"/>
        </w:rPr>
        <w:t>solar panels uses solar energy to generate heat and electricity, and wind power systems takes advantages of wind</w:t>
      </w:r>
      <w:r w:rsidR="008729E1">
        <w:rPr>
          <w:rFonts w:ascii="Arial" w:hAnsi="Arial" w:cs="Arial"/>
        </w:rPr>
        <w:t xml:space="preserve"> to produce electricity. However, a key problem to these techniques is: they face intermittences. Namely, solar energy cannot be used during the night, and wind energy cannot be produced when there is no wind. </w:t>
      </w:r>
      <w:r w:rsidR="002D4F23">
        <w:rPr>
          <w:rFonts w:ascii="Arial" w:hAnsi="Arial" w:cs="Arial"/>
        </w:rPr>
        <w:t xml:space="preserve">Thus, </w:t>
      </w:r>
      <w:r w:rsidR="005844F5">
        <w:rPr>
          <w:rFonts w:ascii="Arial" w:hAnsi="Arial" w:cs="Arial"/>
        </w:rPr>
        <w:t xml:space="preserve">energy storage systems without intermittence </w:t>
      </w:r>
      <w:r w:rsidR="000F08F5">
        <w:rPr>
          <w:rFonts w:ascii="Arial" w:hAnsi="Arial" w:cs="Arial"/>
        </w:rPr>
        <w:t>problem are also attractive.</w:t>
      </w:r>
    </w:p>
    <w:p w14:paraId="2FCAE48E" w14:textId="780BBE12" w:rsidR="008A037E" w:rsidRDefault="00804318" w:rsidP="00DD69D8">
      <w:pPr>
        <w:rPr>
          <w:rFonts w:ascii="Arial" w:hAnsi="Arial" w:cs="Arial"/>
        </w:rPr>
      </w:pPr>
      <w:r>
        <w:rPr>
          <w:rFonts w:ascii="Arial" w:hAnsi="Arial" w:cs="Arial"/>
        </w:rPr>
        <w:t xml:space="preserve">Among all the energy storage systems without intermittence, batteries are one of the most commercialized, </w:t>
      </w:r>
      <w:r w:rsidR="00021590">
        <w:rPr>
          <w:rFonts w:ascii="Arial" w:hAnsi="Arial" w:cs="Arial"/>
        </w:rPr>
        <w:t xml:space="preserve">developed, and </w:t>
      </w:r>
      <w:r>
        <w:rPr>
          <w:rFonts w:ascii="Arial" w:hAnsi="Arial" w:cs="Arial"/>
        </w:rPr>
        <w:t>researched</w:t>
      </w:r>
      <w:r w:rsidR="00021590">
        <w:rPr>
          <w:rFonts w:ascii="Arial" w:hAnsi="Arial" w:cs="Arial"/>
        </w:rPr>
        <w:t xml:space="preserve"> technique. </w:t>
      </w:r>
      <w:r w:rsidR="00003A3F">
        <w:rPr>
          <w:rFonts w:ascii="Arial" w:hAnsi="Arial" w:cs="Arial"/>
        </w:rPr>
        <w:t xml:space="preserve">The operating principle of batteries is based on electrochemistry. Consider </w:t>
      </w:r>
      <w:r w:rsidR="009F72E2">
        <w:rPr>
          <w:rFonts w:ascii="Arial" w:hAnsi="Arial" w:cs="Arial"/>
        </w:rPr>
        <w:t>the</w:t>
      </w:r>
      <w:r w:rsidR="00003A3F">
        <w:rPr>
          <w:rFonts w:ascii="Arial" w:hAnsi="Arial" w:cs="Arial"/>
        </w:rPr>
        <w:t xml:space="preserve"> chemical reaction</w:t>
      </w:r>
      <w:r w:rsidR="009F72E2">
        <w:rPr>
          <w:rFonts w:ascii="Arial" w:hAnsi="Arial" w:cs="Arial"/>
        </w:rPr>
        <w:t xml:space="preserve"> below:</w:t>
      </w:r>
    </w:p>
    <w:p w14:paraId="72BBA349" w14:textId="642B8DB5" w:rsidR="009F72E2" w:rsidRPr="009F72E2" w:rsidRDefault="009F72E2" w:rsidP="009F72E2">
      <w:pPr>
        <w:jc w:val="center"/>
        <w:rPr>
          <w:rFonts w:ascii="Arial" w:hAnsi="Arial" w:cs="Arial"/>
        </w:rPr>
      </w:pPr>
      <m:oMathPara>
        <m:oMath>
          <m:r>
            <w:rPr>
              <w:rFonts w:ascii="Cambria Math" w:hAnsi="Cambria Math" w:cs="Arial"/>
            </w:rPr>
            <m:t>A⟹B</m:t>
          </m:r>
        </m:oMath>
      </m:oMathPara>
    </w:p>
    <w:p w14:paraId="3B484625" w14:textId="47A76D33" w:rsidR="004E0F64" w:rsidRDefault="009F72E2" w:rsidP="009F72E2">
      <w:pPr>
        <w:rPr>
          <w:rFonts w:ascii="Arial" w:hAnsi="Arial" w:cs="Arial"/>
        </w:rPr>
      </w:pPr>
      <w:r>
        <w:rPr>
          <w:rFonts w:ascii="Arial" w:hAnsi="Arial" w:cs="Arial"/>
        </w:rPr>
        <w:lastRenderedPageBreak/>
        <w:t>The energy required to drive this reaction is the Gibbs free energy difference between B</w:t>
      </w:r>
      <w:r w:rsidR="00F96FA0">
        <w:rPr>
          <w:rFonts w:ascii="Arial" w:hAnsi="Arial" w:cs="Arial"/>
        </w:rPr>
        <w:t xml:space="preserve"> (the product) and A (the reactant). If </w:t>
      </w:r>
      <w:r w:rsidR="00AF44C8">
        <w:rPr>
          <w:rFonts w:ascii="Arial" w:hAnsi="Arial" w:cs="Arial"/>
        </w:rPr>
        <w:t>the reaction is downhill, which means the product has a lower Gibbs free energy than the reactant, the reaction is spontaneous.</w:t>
      </w:r>
      <w:r w:rsidR="004E0F64">
        <w:rPr>
          <w:rFonts w:ascii="Arial" w:hAnsi="Arial" w:cs="Arial"/>
        </w:rPr>
        <w:t xml:space="preserve"> Similarly, one can consider a </w:t>
      </w:r>
      <w:r w:rsidR="00402AB7">
        <w:rPr>
          <w:rFonts w:ascii="Arial" w:hAnsi="Arial" w:cs="Arial"/>
        </w:rPr>
        <w:t xml:space="preserve">set of </w:t>
      </w:r>
      <w:r w:rsidR="004E0F64">
        <w:rPr>
          <w:rFonts w:ascii="Arial" w:hAnsi="Arial" w:cs="Arial"/>
        </w:rPr>
        <w:t xml:space="preserve">heterogenous </w:t>
      </w:r>
      <w:r w:rsidR="00E50D93">
        <w:rPr>
          <w:rFonts w:ascii="Arial" w:hAnsi="Arial" w:cs="Arial"/>
        </w:rPr>
        <w:t>chemical reaction</w:t>
      </w:r>
      <w:r w:rsidR="00402AB7">
        <w:rPr>
          <w:rFonts w:ascii="Arial" w:hAnsi="Arial" w:cs="Arial"/>
        </w:rPr>
        <w:t>s</w:t>
      </w:r>
      <w:r w:rsidR="00E50D93">
        <w:rPr>
          <w:rFonts w:ascii="Arial" w:hAnsi="Arial" w:cs="Arial"/>
        </w:rPr>
        <w:t xml:space="preserve"> that </w:t>
      </w:r>
      <w:r w:rsidR="00E158F8">
        <w:rPr>
          <w:rFonts w:ascii="Arial" w:hAnsi="Arial" w:cs="Arial"/>
        </w:rPr>
        <w:t>happen in a lithium-ion battery</w:t>
      </w:r>
      <w:r w:rsidR="00E50D93">
        <w:rPr>
          <w:rFonts w:ascii="Arial" w:hAnsi="Arial" w:cs="Arial"/>
        </w:rPr>
        <w:t>:</w:t>
      </w:r>
    </w:p>
    <w:p w14:paraId="7ED939F9" w14:textId="1A913CAA" w:rsidR="00E158F8" w:rsidRPr="00E158F8" w:rsidRDefault="00E158F8" w:rsidP="00E158F8">
      <w:pPr>
        <w:ind w:left="1080"/>
        <w:jc w:val="center"/>
        <w:rPr>
          <w:rFonts w:ascii="Arial" w:hAnsi="Arial" w:cs="Arial"/>
        </w:rPr>
      </w:pPr>
      <w:r w:rsidRPr="00E158F8">
        <w:rPr>
          <w:rFonts w:ascii="Arial" w:eastAsiaTheme="minorEastAsia" w:hAnsi="Arial" w:cs="Arial"/>
        </w:rPr>
        <w:t xml:space="preserve">Cathode: </w:t>
      </w:r>
      <m:oMath>
        <m:r>
          <w:rPr>
            <w:rFonts w:ascii="Cambria Math" w:hAnsi="Cambria Math" w:cs="Arial"/>
          </w:rPr>
          <m:t>Co</m:t>
        </m:r>
        <m:sSub>
          <m:sSubPr>
            <m:ctrlPr>
              <w:rPr>
                <w:rFonts w:ascii="Cambria Math" w:hAnsi="Cambria Math" w:cs="Arial"/>
                <w:i/>
                <w:iCs/>
              </w:rPr>
            </m:ctrlPr>
          </m:sSubPr>
          <m:e>
            <m:r>
              <w:rPr>
                <w:rFonts w:ascii="Cambria Math" w:hAnsi="Cambria Math" w:cs="Arial"/>
              </w:rPr>
              <m:t>O</m:t>
            </m:r>
          </m:e>
          <m:sub>
            <m:r>
              <w:rPr>
                <w:rFonts w:ascii="Cambria Math" w:hAnsi="Cambria Math" w:cs="Arial"/>
              </w:rPr>
              <m:t>2</m:t>
            </m:r>
          </m:sub>
        </m:sSub>
        <m:r>
          <w:rPr>
            <w:rFonts w:ascii="Cambria Math" w:hAnsi="Cambria Math" w:cs="Arial"/>
          </w:rPr>
          <m:t>+L</m:t>
        </m:r>
        <m:sSup>
          <m:sSupPr>
            <m:ctrlPr>
              <w:rPr>
                <w:rFonts w:ascii="Cambria Math" w:hAnsi="Cambria Math" w:cs="Arial"/>
                <w:i/>
                <w:iCs/>
              </w:rPr>
            </m:ctrlPr>
          </m:sSupPr>
          <m:e>
            <m:r>
              <w:rPr>
                <w:rFonts w:ascii="Cambria Math" w:hAnsi="Cambria Math" w:cs="Arial"/>
              </w:rPr>
              <m:t>i</m:t>
            </m:r>
          </m:e>
          <m:sup>
            <m:r>
              <w:rPr>
                <w:rFonts w:ascii="Cambria Math" w:hAnsi="Cambria Math" w:cs="Arial"/>
              </w:rPr>
              <m:t>+</m:t>
            </m:r>
          </m:sup>
        </m:sSup>
        <m:r>
          <w:rPr>
            <w:rFonts w:ascii="Cambria Math" w:hAnsi="Cambria Math" w:cs="Arial"/>
          </w:rPr>
          <m:t>+</m:t>
        </m:r>
        <m:sSup>
          <m:sSupPr>
            <m:ctrlPr>
              <w:rPr>
                <w:rFonts w:ascii="Cambria Math" w:hAnsi="Cambria Math" w:cs="Arial"/>
                <w:i/>
                <w:iCs/>
              </w:rPr>
            </m:ctrlPr>
          </m:sSupPr>
          <m:e>
            <m:r>
              <w:rPr>
                <w:rFonts w:ascii="Cambria Math" w:hAnsi="Cambria Math" w:cs="Arial"/>
              </w:rPr>
              <m:t>e</m:t>
            </m:r>
          </m:e>
          <m:sup>
            <m:r>
              <w:rPr>
                <w:rFonts w:ascii="Cambria Math" w:hAnsi="Cambria Math" w:cs="Arial"/>
              </w:rPr>
              <m:t>-</m:t>
            </m:r>
          </m:sup>
        </m:sSup>
        <m:r>
          <w:rPr>
            <w:rFonts w:ascii="Cambria Math" w:hAnsi="Cambria Math" w:cs="Arial"/>
          </w:rPr>
          <m:t>⇌LiCo</m:t>
        </m:r>
        <m:sSub>
          <m:sSubPr>
            <m:ctrlPr>
              <w:rPr>
                <w:rFonts w:ascii="Cambria Math" w:hAnsi="Cambria Math" w:cs="Arial"/>
                <w:i/>
                <w:iCs/>
              </w:rPr>
            </m:ctrlPr>
          </m:sSubPr>
          <m:e>
            <m:r>
              <w:rPr>
                <w:rFonts w:ascii="Cambria Math" w:hAnsi="Cambria Math" w:cs="Arial"/>
              </w:rPr>
              <m:t>O</m:t>
            </m:r>
          </m:e>
          <m:sub>
            <m:r>
              <w:rPr>
                <w:rFonts w:ascii="Cambria Math" w:hAnsi="Cambria Math" w:cs="Arial"/>
              </w:rPr>
              <m:t>2</m:t>
            </m:r>
          </m:sub>
        </m:sSub>
      </m:oMath>
    </w:p>
    <w:p w14:paraId="6E921372" w14:textId="3F19E837" w:rsidR="00E158F8" w:rsidRPr="00E158F8" w:rsidRDefault="00E158F8" w:rsidP="00E158F8">
      <w:pPr>
        <w:ind w:left="1080"/>
        <w:jc w:val="center"/>
        <w:rPr>
          <w:rFonts w:ascii="Arial" w:hAnsi="Arial" w:cs="Arial"/>
        </w:rPr>
      </w:pPr>
      <w:r w:rsidRPr="00E158F8">
        <w:rPr>
          <w:rFonts w:ascii="Arial" w:eastAsiaTheme="minorEastAsia" w:hAnsi="Arial" w:cs="Arial"/>
        </w:rPr>
        <w:t xml:space="preserve">Anode: </w:t>
      </w:r>
      <m:oMath>
        <m:r>
          <w:rPr>
            <w:rFonts w:ascii="Cambria Math" w:hAnsi="Cambria Math" w:cs="Arial"/>
          </w:rPr>
          <m:t>Li</m:t>
        </m:r>
        <m:sSub>
          <m:sSubPr>
            <m:ctrlPr>
              <w:rPr>
                <w:rFonts w:ascii="Cambria Math" w:hAnsi="Cambria Math" w:cs="Arial"/>
                <w:i/>
                <w:iCs/>
              </w:rPr>
            </m:ctrlPr>
          </m:sSubPr>
          <m:e>
            <m:r>
              <w:rPr>
                <w:rFonts w:ascii="Cambria Math" w:hAnsi="Cambria Math" w:cs="Arial"/>
              </w:rPr>
              <m:t>C</m:t>
            </m:r>
          </m:e>
          <m:sub>
            <m:r>
              <w:rPr>
                <w:rFonts w:ascii="Cambria Math" w:hAnsi="Cambria Math" w:cs="Arial"/>
              </w:rPr>
              <m:t>6</m:t>
            </m:r>
          </m:sub>
        </m:sSub>
        <m:r>
          <w:rPr>
            <w:rFonts w:ascii="Cambria Math" w:hAnsi="Cambria Math" w:cs="Arial"/>
          </w:rPr>
          <m:t>⇌</m:t>
        </m:r>
        <m:sSub>
          <m:sSubPr>
            <m:ctrlPr>
              <w:rPr>
                <w:rFonts w:ascii="Cambria Math" w:hAnsi="Cambria Math" w:cs="Arial"/>
                <w:i/>
                <w:iCs/>
              </w:rPr>
            </m:ctrlPr>
          </m:sSubPr>
          <m:e>
            <m:r>
              <w:rPr>
                <w:rFonts w:ascii="Cambria Math" w:hAnsi="Cambria Math" w:cs="Arial"/>
              </w:rPr>
              <m:t>C</m:t>
            </m:r>
          </m:e>
          <m:sub>
            <m:r>
              <w:rPr>
                <w:rFonts w:ascii="Cambria Math" w:hAnsi="Cambria Math" w:cs="Arial"/>
              </w:rPr>
              <m:t>6</m:t>
            </m:r>
          </m:sub>
        </m:sSub>
        <m:r>
          <w:rPr>
            <w:rFonts w:ascii="Cambria Math" w:hAnsi="Cambria Math" w:cs="Arial"/>
          </w:rPr>
          <m:t>+L</m:t>
        </m:r>
        <m:sSup>
          <m:sSupPr>
            <m:ctrlPr>
              <w:rPr>
                <w:rFonts w:ascii="Cambria Math" w:hAnsi="Cambria Math" w:cs="Arial"/>
                <w:i/>
                <w:iCs/>
              </w:rPr>
            </m:ctrlPr>
          </m:sSupPr>
          <m:e>
            <m:r>
              <w:rPr>
                <w:rFonts w:ascii="Cambria Math" w:hAnsi="Cambria Math" w:cs="Arial"/>
              </w:rPr>
              <m:t>i</m:t>
            </m:r>
          </m:e>
          <m:sup>
            <m:r>
              <w:rPr>
                <w:rFonts w:ascii="Cambria Math" w:hAnsi="Cambria Math" w:cs="Arial"/>
              </w:rPr>
              <m:t>+</m:t>
            </m:r>
          </m:sup>
        </m:sSup>
        <m:r>
          <w:rPr>
            <w:rFonts w:ascii="Cambria Math" w:hAnsi="Cambria Math" w:cs="Arial"/>
          </w:rPr>
          <m:t>+</m:t>
        </m:r>
        <m:sSup>
          <m:sSupPr>
            <m:ctrlPr>
              <w:rPr>
                <w:rFonts w:ascii="Cambria Math" w:hAnsi="Cambria Math" w:cs="Arial"/>
                <w:i/>
                <w:iCs/>
              </w:rPr>
            </m:ctrlPr>
          </m:sSupPr>
          <m:e>
            <m:r>
              <w:rPr>
                <w:rFonts w:ascii="Cambria Math" w:hAnsi="Cambria Math" w:cs="Arial"/>
              </w:rPr>
              <m:t>e</m:t>
            </m:r>
          </m:e>
          <m:sup>
            <m:r>
              <w:rPr>
                <w:rFonts w:ascii="Cambria Math" w:hAnsi="Cambria Math" w:cs="Arial"/>
              </w:rPr>
              <m:t>-</m:t>
            </m:r>
          </m:sup>
        </m:sSup>
      </m:oMath>
    </w:p>
    <w:p w14:paraId="7500DE58" w14:textId="45D08FDC" w:rsidR="00E158F8" w:rsidRDefault="00E158F8" w:rsidP="00E158F8">
      <w:pPr>
        <w:ind w:left="1080"/>
        <w:jc w:val="center"/>
        <w:rPr>
          <w:rFonts w:ascii="Arial" w:hAnsi="Arial" w:cs="Arial"/>
          <w:iCs/>
        </w:rPr>
      </w:pPr>
      <w:r w:rsidRPr="00E158F8">
        <w:rPr>
          <w:rFonts w:ascii="Arial" w:eastAsia="Cambria Math" w:hAnsi="Arial" w:cs="Arial"/>
        </w:rPr>
        <w:t xml:space="preserve">Overall: </w:t>
      </w:r>
      <m:oMath>
        <m:r>
          <w:rPr>
            <w:rFonts w:ascii="Cambria Math" w:hAnsi="Cambria Math" w:cs="Arial"/>
          </w:rPr>
          <m:t>Li</m:t>
        </m:r>
        <m:sSub>
          <m:sSubPr>
            <m:ctrlPr>
              <w:rPr>
                <w:rFonts w:ascii="Cambria Math" w:hAnsi="Cambria Math" w:cs="Arial"/>
                <w:i/>
                <w:iCs/>
              </w:rPr>
            </m:ctrlPr>
          </m:sSubPr>
          <m:e>
            <m:r>
              <w:rPr>
                <w:rFonts w:ascii="Cambria Math" w:hAnsi="Cambria Math" w:cs="Arial"/>
              </w:rPr>
              <m:t>C</m:t>
            </m:r>
          </m:e>
          <m:sub>
            <m:r>
              <w:rPr>
                <w:rFonts w:ascii="Cambria Math" w:hAnsi="Cambria Math" w:cs="Arial"/>
              </w:rPr>
              <m:t>6</m:t>
            </m:r>
          </m:sub>
        </m:sSub>
        <m:r>
          <w:rPr>
            <w:rFonts w:ascii="Cambria Math" w:hAnsi="Cambria Math" w:cs="Arial"/>
          </w:rPr>
          <m:t>+Co</m:t>
        </m:r>
        <m:sSub>
          <m:sSubPr>
            <m:ctrlPr>
              <w:rPr>
                <w:rFonts w:ascii="Cambria Math" w:hAnsi="Cambria Math" w:cs="Arial"/>
                <w:i/>
                <w:iCs/>
              </w:rPr>
            </m:ctrlPr>
          </m:sSubPr>
          <m:e>
            <m:r>
              <w:rPr>
                <w:rFonts w:ascii="Cambria Math" w:hAnsi="Cambria Math" w:cs="Arial"/>
              </w:rPr>
              <m:t>O</m:t>
            </m:r>
          </m:e>
          <m:sub>
            <m:r>
              <w:rPr>
                <w:rFonts w:ascii="Cambria Math" w:hAnsi="Cambria Math" w:cs="Arial"/>
              </w:rPr>
              <m:t>2</m:t>
            </m:r>
          </m:sub>
        </m:sSub>
        <m:r>
          <w:rPr>
            <w:rFonts w:ascii="Cambria Math" w:hAnsi="Cambria Math" w:cs="Arial"/>
          </w:rPr>
          <m:t>⇌LiCo</m:t>
        </m:r>
        <m:sSub>
          <m:sSubPr>
            <m:ctrlPr>
              <w:rPr>
                <w:rFonts w:ascii="Cambria Math" w:hAnsi="Cambria Math" w:cs="Arial"/>
                <w:i/>
                <w:iCs/>
              </w:rPr>
            </m:ctrlPr>
          </m:sSubPr>
          <m:e>
            <m:r>
              <w:rPr>
                <w:rFonts w:ascii="Cambria Math" w:hAnsi="Cambria Math" w:cs="Arial"/>
              </w:rPr>
              <m:t>O</m:t>
            </m:r>
          </m:e>
          <m:sub>
            <m:r>
              <w:rPr>
                <w:rFonts w:ascii="Cambria Math" w:hAnsi="Cambria Math" w:cs="Arial"/>
              </w:rPr>
              <m:t>2</m:t>
            </m:r>
          </m:sub>
        </m:sSub>
        <m:r>
          <w:rPr>
            <w:rFonts w:ascii="Cambria Math" w:hAnsi="Cambria Math" w:cs="Arial"/>
          </w:rPr>
          <m:t>+</m:t>
        </m:r>
        <m:sSub>
          <m:sSubPr>
            <m:ctrlPr>
              <w:rPr>
                <w:rFonts w:ascii="Cambria Math" w:hAnsi="Cambria Math" w:cs="Arial"/>
                <w:i/>
                <w:iCs/>
              </w:rPr>
            </m:ctrlPr>
          </m:sSubPr>
          <m:e>
            <m:r>
              <w:rPr>
                <w:rFonts w:ascii="Cambria Math" w:hAnsi="Cambria Math" w:cs="Arial"/>
              </w:rPr>
              <m:t>C</m:t>
            </m:r>
          </m:e>
          <m:sub>
            <m:r>
              <w:rPr>
                <w:rFonts w:ascii="Cambria Math" w:hAnsi="Cambria Math" w:cs="Arial"/>
              </w:rPr>
              <m:t>6</m:t>
            </m:r>
          </m:sub>
        </m:sSub>
      </m:oMath>
    </w:p>
    <w:p w14:paraId="01B3AE0B" w14:textId="7EAF13F6" w:rsidR="00E158F8" w:rsidRDefault="001E6088" w:rsidP="00E158F8">
      <w:pPr>
        <w:rPr>
          <w:rFonts w:ascii="Arial" w:hAnsi="Arial" w:cs="Arial"/>
          <w:iCs/>
        </w:rPr>
      </w:pPr>
      <w:r>
        <w:rPr>
          <w:rFonts w:ascii="Arial" w:hAnsi="Arial" w:cs="Arial"/>
          <w:iCs/>
        </w:rPr>
        <w:t>A lithium-ion battery is an electrochemical cell. The voltage one can get out of the electrochemical cell is described by the following equation:</w:t>
      </w:r>
    </w:p>
    <w:p w14:paraId="4857291D" w14:textId="5F2D5677" w:rsidR="00E158F8" w:rsidRPr="001E6088" w:rsidRDefault="001E6088" w:rsidP="001E6088">
      <w:pPr>
        <w:jc w:val="center"/>
        <w:rPr>
          <w:rFonts w:ascii="Arial" w:hAnsi="Arial" w:cs="Arial"/>
        </w:rPr>
      </w:pPr>
      <m:oMathPara>
        <m:oMath>
          <m:r>
            <w:rPr>
              <w:rFonts w:ascii="Cambria Math" w:hAnsi="Cambria Math" w:cs="Arial"/>
            </w:rPr>
            <m:t>E=-</m:t>
          </m:r>
          <m:f>
            <m:fPr>
              <m:ctrlPr>
                <w:rPr>
                  <w:rFonts w:ascii="Cambria Math" w:eastAsiaTheme="minorEastAsia" w:hAnsi="Cambria Math" w:cs="Arial"/>
                  <w:i/>
                  <w:kern w:val="2"/>
                  <w14:ligatures w14:val="standardContextual"/>
                </w:rPr>
              </m:ctrlPr>
            </m:fPr>
            <m:num>
              <m:r>
                <w:rPr>
                  <w:rFonts w:ascii="Cambria Math" w:hAnsi="Cambria Math" w:cs="Arial"/>
                </w:rPr>
                <m:t>∆G</m:t>
              </m:r>
            </m:num>
            <m:den>
              <m:r>
                <w:rPr>
                  <w:rFonts w:ascii="Cambria Math" w:hAnsi="Cambria Math" w:cs="Arial"/>
                </w:rPr>
                <m:t>nF</m:t>
              </m:r>
            </m:den>
          </m:f>
        </m:oMath>
      </m:oMathPara>
    </w:p>
    <w:p w14:paraId="11E23516" w14:textId="751D9DBB" w:rsidR="00E158F8" w:rsidRDefault="001E6088" w:rsidP="001E6088">
      <w:pPr>
        <w:rPr>
          <w:rFonts w:ascii="Arial" w:hAnsi="Arial" w:cs="Arial"/>
        </w:rPr>
      </w:pPr>
      <w:r>
        <w:rPr>
          <w:rFonts w:ascii="Arial" w:hAnsi="Arial" w:cs="Arial"/>
        </w:rPr>
        <w:t xml:space="preserve">In the equation above, </w:t>
      </w:r>
      <m:oMath>
        <m:r>
          <w:rPr>
            <w:rFonts w:ascii="Cambria Math" w:hAnsi="Cambria Math" w:cs="Arial"/>
          </w:rPr>
          <m:t>∆G</m:t>
        </m:r>
      </m:oMath>
      <w:r>
        <w:rPr>
          <w:rFonts w:ascii="Arial" w:hAnsi="Arial" w:cs="Arial"/>
        </w:rPr>
        <w:t xml:space="preserve"> is the Gibbs free energy difference between the products and the reactants in the overall reaction. </w:t>
      </w:r>
      <m:oMath>
        <m:r>
          <w:rPr>
            <w:rFonts w:ascii="Cambria Math" w:hAnsi="Cambria Math" w:cs="Arial"/>
          </w:rPr>
          <m:t>n</m:t>
        </m:r>
      </m:oMath>
      <w:r>
        <w:rPr>
          <w:rFonts w:ascii="Arial" w:hAnsi="Arial" w:cs="Arial"/>
        </w:rPr>
        <w:t xml:space="preserve"> is the total number electrons transferred. </w:t>
      </w:r>
      <m:oMath>
        <m:r>
          <w:rPr>
            <w:rFonts w:ascii="Cambria Math" w:hAnsi="Cambria Math" w:cs="Arial"/>
          </w:rPr>
          <m:t>F</m:t>
        </m:r>
      </m:oMath>
      <w:r>
        <w:rPr>
          <w:rFonts w:ascii="Arial" w:hAnsi="Arial" w:cs="Arial"/>
        </w:rPr>
        <w:t xml:space="preserve"> is the Faraday’s constant (96485 C/mol). </w:t>
      </w:r>
      <w:r w:rsidR="00487916">
        <w:rPr>
          <w:rFonts w:ascii="Arial" w:hAnsi="Arial" w:cs="Arial"/>
        </w:rPr>
        <w:t>Thus, if the overall chemical reaction of an electrochemical cell is spontaneous (</w:t>
      </w:r>
      <m:oMath>
        <m:r>
          <w:rPr>
            <w:rFonts w:ascii="Cambria Math" w:hAnsi="Cambria Math" w:cs="Arial"/>
          </w:rPr>
          <m:t>∆G&lt;0</m:t>
        </m:r>
      </m:oMath>
      <w:r w:rsidR="00487916">
        <w:rPr>
          <w:rFonts w:ascii="Arial" w:hAnsi="Arial" w:cs="Arial"/>
        </w:rPr>
        <w:t>), one can convert the chemical energy from the spontaneous reaction to electricity</w:t>
      </w:r>
      <w:r w:rsidR="002904CE" w:rsidRPr="002904CE">
        <w:rPr>
          <w:rFonts w:ascii="Arial" w:hAnsi="Arial" w:cs="Arial"/>
          <w:b/>
          <w:bCs/>
          <w:vertAlign w:val="superscript"/>
        </w:rPr>
        <w:t>2</w:t>
      </w:r>
      <w:r w:rsidR="00487916">
        <w:rPr>
          <w:rFonts w:ascii="Arial" w:hAnsi="Arial" w:cs="Arial"/>
        </w:rPr>
        <w:t>.</w:t>
      </w:r>
    </w:p>
    <w:p w14:paraId="55B14707" w14:textId="77777777" w:rsidR="008C1062" w:rsidRDefault="008C1062" w:rsidP="001E6088">
      <w:pPr>
        <w:rPr>
          <w:rFonts w:ascii="Arial" w:hAnsi="Arial" w:cs="Arial"/>
        </w:rPr>
      </w:pPr>
    </w:p>
    <w:p w14:paraId="355496AA" w14:textId="179E97DF" w:rsidR="00E158F8" w:rsidRDefault="00856FCE" w:rsidP="00856FCE">
      <w:pPr>
        <w:jc w:val="center"/>
        <w:rPr>
          <w:rFonts w:ascii="Arial" w:hAnsi="Arial" w:cs="Arial"/>
        </w:rPr>
      </w:pPr>
      <w:r w:rsidRPr="00856FCE">
        <w:rPr>
          <w:rFonts w:ascii="Arial" w:hAnsi="Arial" w:cs="Arial"/>
          <w:noProof/>
        </w:rPr>
        <w:drawing>
          <wp:inline distT="0" distB="0" distL="0" distR="0" wp14:anchorId="3A350C12" wp14:editId="201CE203">
            <wp:extent cx="2488039" cy="1955598"/>
            <wp:effectExtent l="0" t="0" r="1270" b="635"/>
            <wp:docPr id="3074" name="Picture 3074" descr="The Li-Ion Rechargeable Battery: A Perspective | Journal of the American  Chemical Society">
              <a:extLst xmlns:a="http://schemas.openxmlformats.org/drawingml/2006/main">
                <a:ext uri="{FF2B5EF4-FFF2-40B4-BE49-F238E27FC236}">
                  <a16:creationId xmlns:a16="http://schemas.microsoft.com/office/drawing/2014/main" id="{7454F857-0D7F-C11B-E89A-7EAE52B1E7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The Li-Ion Rechargeable Battery: A Perspective | Journal of the American  Chemical Society">
                      <a:extLst>
                        <a:ext uri="{FF2B5EF4-FFF2-40B4-BE49-F238E27FC236}">
                          <a16:creationId xmlns:a16="http://schemas.microsoft.com/office/drawing/2014/main" id="{7454F857-0D7F-C11B-E89A-7EAE52B1E7F8}"/>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8039" cy="1955598"/>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074965EE" w14:textId="74286C72" w:rsidR="008C1062" w:rsidRDefault="00856FCE" w:rsidP="008C1062">
      <w:pPr>
        <w:jc w:val="center"/>
        <w:rPr>
          <w:rFonts w:ascii="Arial" w:hAnsi="Arial" w:cs="Arial"/>
          <w:i/>
          <w:iCs/>
        </w:rPr>
      </w:pPr>
      <w:r w:rsidRPr="00A566E9">
        <w:rPr>
          <w:rFonts w:ascii="Arial" w:hAnsi="Arial" w:cs="Arial"/>
          <w:b/>
          <w:bCs/>
          <w:i/>
          <w:iCs/>
        </w:rPr>
        <w:t>Figure 2:</w:t>
      </w:r>
      <w:r>
        <w:rPr>
          <w:rFonts w:ascii="Arial" w:hAnsi="Arial" w:cs="Arial"/>
          <w:i/>
          <w:iCs/>
        </w:rPr>
        <w:t xml:space="preserve"> </w:t>
      </w:r>
      <w:r w:rsidR="00A566E9">
        <w:rPr>
          <w:rFonts w:ascii="Arial" w:hAnsi="Arial" w:cs="Arial"/>
          <w:i/>
          <w:iCs/>
        </w:rPr>
        <w:t>The structure of a lithium-ion battery.</w:t>
      </w:r>
    </w:p>
    <w:p w14:paraId="5F6F4660" w14:textId="77777777" w:rsidR="008C1062" w:rsidRDefault="008C1062" w:rsidP="008C1062">
      <w:pPr>
        <w:rPr>
          <w:rFonts w:ascii="Arial" w:hAnsi="Arial" w:cs="Arial"/>
          <w:i/>
          <w:iCs/>
        </w:rPr>
      </w:pPr>
    </w:p>
    <w:p w14:paraId="75FAA6AF" w14:textId="77777777" w:rsidR="006F7F4B" w:rsidRDefault="00051D95" w:rsidP="008C1062">
      <w:pPr>
        <w:rPr>
          <w:rFonts w:ascii="Arial" w:hAnsi="Arial" w:cs="Arial"/>
        </w:rPr>
      </w:pPr>
      <w:r>
        <w:rPr>
          <w:rFonts w:ascii="Arial" w:hAnsi="Arial" w:cs="Arial" w:hint="eastAsia"/>
        </w:rPr>
        <w:t>B</w:t>
      </w:r>
      <w:r>
        <w:rPr>
          <w:rFonts w:ascii="Arial" w:hAnsi="Arial" w:cs="Arial"/>
        </w:rPr>
        <w:t xml:space="preserve">atteries </w:t>
      </w:r>
      <w:r w:rsidR="00626E50">
        <w:rPr>
          <w:rFonts w:ascii="Arial" w:hAnsi="Arial" w:cs="Arial"/>
        </w:rPr>
        <w:t>are clean energy storage technique and have lots of unique advantages</w:t>
      </w:r>
      <w:r>
        <w:rPr>
          <w:rFonts w:ascii="Arial" w:hAnsi="Arial" w:cs="Arial"/>
        </w:rPr>
        <w:t>. First, they are versatile. They can be used in a range of</w:t>
      </w:r>
      <w:r w:rsidR="00626E50">
        <w:rPr>
          <w:rFonts w:ascii="Arial" w:hAnsi="Arial" w:cs="Arial"/>
        </w:rPr>
        <w:t xml:space="preserve"> systems, ranging from portable electronic devices to vehicles or spacecrafts. Second, th</w:t>
      </w:r>
      <w:r w:rsidR="00AF03FB">
        <w:rPr>
          <w:rFonts w:ascii="Arial" w:hAnsi="Arial" w:cs="Arial"/>
        </w:rPr>
        <w:t xml:space="preserve">ey can convert chemical energy to electricity instantaneously and can be recharged, therefore </w:t>
      </w:r>
      <w:r w:rsidR="00704544">
        <w:rPr>
          <w:rFonts w:ascii="Arial" w:hAnsi="Arial" w:cs="Arial"/>
        </w:rPr>
        <w:t>possessing negligible intermittence problems.</w:t>
      </w:r>
      <w:r w:rsidR="009644D5">
        <w:rPr>
          <w:rFonts w:ascii="Arial" w:hAnsi="Arial" w:cs="Arial"/>
        </w:rPr>
        <w:t xml:space="preserve"> T</w:t>
      </w:r>
      <w:r w:rsidR="009644D5">
        <w:rPr>
          <w:rFonts w:ascii="Arial" w:hAnsi="Arial" w:cs="Arial" w:hint="eastAsia"/>
        </w:rPr>
        <w:t>hird</w:t>
      </w:r>
      <w:r w:rsidR="009644D5">
        <w:rPr>
          <w:rFonts w:ascii="Arial" w:hAnsi="Arial" w:cs="Arial"/>
        </w:rPr>
        <w:t xml:space="preserve">, </w:t>
      </w:r>
      <w:r w:rsidR="001F2E60">
        <w:rPr>
          <w:rFonts w:ascii="Arial" w:hAnsi="Arial" w:cs="Arial"/>
        </w:rPr>
        <w:t xml:space="preserve">batteries have </w:t>
      </w:r>
      <w:r w:rsidR="00BD4920">
        <w:rPr>
          <w:rFonts w:ascii="Arial" w:hAnsi="Arial" w:cs="Arial"/>
        </w:rPr>
        <w:t xml:space="preserve">good specific power and energy density, making their performance comparable with traditional energy sources such as fossil fuels. Lastly, </w:t>
      </w:r>
      <w:r w:rsidR="006F7F4B">
        <w:rPr>
          <w:rFonts w:ascii="Arial" w:hAnsi="Arial" w:cs="Arial"/>
        </w:rPr>
        <w:t>the operation of batteries does not emit carbon dioxide, a greenhouse gas that causes global warming.</w:t>
      </w:r>
    </w:p>
    <w:p w14:paraId="3A46C2BF" w14:textId="61181D01" w:rsidR="00FF58F7" w:rsidRDefault="00686AA1" w:rsidP="008C1062">
      <w:pPr>
        <w:rPr>
          <w:rFonts w:ascii="Arial" w:hAnsi="Arial" w:cs="Arial"/>
        </w:rPr>
      </w:pPr>
      <w:r>
        <w:rPr>
          <w:rFonts w:ascii="Arial" w:hAnsi="Arial" w:cs="Arial" w:hint="eastAsia"/>
        </w:rPr>
        <w:t>Re</w:t>
      </w:r>
      <w:r>
        <w:rPr>
          <w:rFonts w:ascii="Arial" w:hAnsi="Arial" w:cs="Arial"/>
        </w:rPr>
        <w:t xml:space="preserve">dox-flow battery (RFB) is a type of </w:t>
      </w:r>
      <w:r w:rsidR="00CB5520">
        <w:rPr>
          <w:rFonts w:ascii="Arial" w:hAnsi="Arial" w:cs="Arial"/>
        </w:rPr>
        <w:t xml:space="preserve">battery that contains </w:t>
      </w:r>
      <w:r w:rsidR="003731DC">
        <w:rPr>
          <w:rFonts w:ascii="Arial" w:hAnsi="Arial" w:cs="Arial"/>
        </w:rPr>
        <w:t xml:space="preserve">two tanks of liquid-state electrolytes called catholyte and anolyte respectively. When the battery is being operated, electrolytes are pumped into the electrochemical cell in the middle. Electrochemical reduction reaction will happen on the cathode side, while electrochemical oxidation will happen on the anode side. Since the overall reaction is spontaneous, </w:t>
      </w:r>
      <w:r w:rsidR="00FF58F7">
        <w:rPr>
          <w:rFonts w:ascii="Arial" w:hAnsi="Arial" w:cs="Arial"/>
        </w:rPr>
        <w:t>electricity can be obtained from an RFB</w:t>
      </w:r>
      <w:r w:rsidR="002904CE" w:rsidRPr="002904CE">
        <w:rPr>
          <w:rFonts w:ascii="Arial" w:hAnsi="Arial" w:cs="Arial"/>
          <w:b/>
          <w:bCs/>
          <w:vertAlign w:val="superscript"/>
        </w:rPr>
        <w:t>3</w:t>
      </w:r>
      <w:r w:rsidR="00FF58F7">
        <w:rPr>
          <w:rFonts w:ascii="Arial" w:hAnsi="Arial" w:cs="Arial"/>
        </w:rPr>
        <w:t>.</w:t>
      </w:r>
    </w:p>
    <w:p w14:paraId="5C18DE6F" w14:textId="77777777" w:rsidR="00FF58F7" w:rsidRDefault="00FF58F7" w:rsidP="008C1062">
      <w:pPr>
        <w:rPr>
          <w:rFonts w:ascii="Arial" w:hAnsi="Arial" w:cs="Arial"/>
        </w:rPr>
      </w:pPr>
    </w:p>
    <w:p w14:paraId="23EF7677" w14:textId="77777777" w:rsidR="00FF58F7" w:rsidRDefault="00FF58F7" w:rsidP="00FF58F7">
      <w:pPr>
        <w:jc w:val="center"/>
        <w:rPr>
          <w:rFonts w:ascii="Arial" w:hAnsi="Arial" w:cs="Arial"/>
        </w:rPr>
      </w:pPr>
      <w:r w:rsidRPr="00FF58F7">
        <w:rPr>
          <w:rFonts w:ascii="Arial" w:hAnsi="Arial" w:cs="Arial"/>
          <w:noProof/>
        </w:rPr>
        <w:lastRenderedPageBreak/>
        <w:drawing>
          <wp:inline distT="0" distB="0" distL="0" distR="0" wp14:anchorId="7422BBED" wp14:editId="7A810AF5">
            <wp:extent cx="3626338" cy="2251478"/>
            <wp:effectExtent l="0" t="0" r="0" b="0"/>
            <wp:docPr id="4098" name="Picture 2" descr="Molecules | Free Full-Text | Redox Species of Redox Flow Batteries: A Review">
              <a:extLst xmlns:a="http://schemas.openxmlformats.org/drawingml/2006/main">
                <a:ext uri="{FF2B5EF4-FFF2-40B4-BE49-F238E27FC236}">
                  <a16:creationId xmlns:a16="http://schemas.microsoft.com/office/drawing/2014/main" id="{65AD5A09-83EF-64C0-618B-34DCCABA48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Molecules | Free Full-Text | Redox Species of Redox Flow Batteries: A Review">
                      <a:extLst>
                        <a:ext uri="{FF2B5EF4-FFF2-40B4-BE49-F238E27FC236}">
                          <a16:creationId xmlns:a16="http://schemas.microsoft.com/office/drawing/2014/main" id="{65AD5A09-83EF-64C0-618B-34DCCABA482D}"/>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31245" cy="2254525"/>
                    </a:xfrm>
                    <a:prstGeom prst="rect">
                      <a:avLst/>
                    </a:prstGeom>
                    <a:noFill/>
                  </pic:spPr>
                </pic:pic>
              </a:graphicData>
            </a:graphic>
          </wp:inline>
        </w:drawing>
      </w:r>
    </w:p>
    <w:p w14:paraId="6842128C" w14:textId="77777777" w:rsidR="002904CE" w:rsidRDefault="00FF58F7" w:rsidP="00FF58F7">
      <w:pPr>
        <w:jc w:val="center"/>
        <w:rPr>
          <w:rFonts w:ascii="Arial" w:hAnsi="Arial" w:cs="Arial"/>
          <w:i/>
          <w:iCs/>
        </w:rPr>
      </w:pPr>
      <w:r w:rsidRPr="00A9011D">
        <w:rPr>
          <w:rFonts w:ascii="Arial" w:hAnsi="Arial" w:cs="Arial"/>
          <w:b/>
          <w:bCs/>
          <w:i/>
          <w:iCs/>
        </w:rPr>
        <w:t>Figure 3:</w:t>
      </w:r>
      <w:r>
        <w:rPr>
          <w:rFonts w:ascii="Arial" w:hAnsi="Arial" w:cs="Arial"/>
          <w:i/>
          <w:iCs/>
        </w:rPr>
        <w:t xml:space="preserve"> The setup of an RFB.</w:t>
      </w:r>
    </w:p>
    <w:p w14:paraId="1314B66A" w14:textId="77777777" w:rsidR="002904CE" w:rsidRDefault="002904CE" w:rsidP="00FF58F7">
      <w:pPr>
        <w:jc w:val="center"/>
        <w:rPr>
          <w:rFonts w:ascii="Arial" w:hAnsi="Arial" w:cs="Arial"/>
          <w:i/>
          <w:iCs/>
        </w:rPr>
      </w:pPr>
    </w:p>
    <w:p w14:paraId="4D644947" w14:textId="77777777" w:rsidR="00096DCE" w:rsidRDefault="003C6860" w:rsidP="002904CE">
      <w:pPr>
        <w:rPr>
          <w:rFonts w:ascii="Arial" w:hAnsi="Arial" w:cs="Arial"/>
        </w:rPr>
      </w:pPr>
      <w:r>
        <w:rPr>
          <w:rFonts w:ascii="Arial" w:hAnsi="Arial" w:cs="Arial"/>
        </w:rPr>
        <w:t xml:space="preserve">Although traditional RFBs </w:t>
      </w:r>
      <w:r w:rsidR="00E85FB0">
        <w:rPr>
          <w:rFonts w:ascii="Arial" w:hAnsi="Arial" w:cs="Arial"/>
        </w:rPr>
        <w:t xml:space="preserve">has no capacity limit (i.e. One can simply build larger electrolyte tanks to </w:t>
      </w:r>
      <w:r w:rsidR="004869F6">
        <w:rPr>
          <w:rFonts w:ascii="Arial" w:hAnsi="Arial" w:cs="Arial"/>
        </w:rPr>
        <w:t xml:space="preserve">obtain a larger capacity), and is thus </w:t>
      </w:r>
      <w:r w:rsidR="008510EB">
        <w:rPr>
          <w:rFonts w:ascii="Arial" w:hAnsi="Arial" w:cs="Arial"/>
        </w:rPr>
        <w:t>suitable for grid energy storage, they have low energy density as the media to store the charges are in liquid form. Furthermore, most of the current RFBs are vanadium-based, and vanadium, as a rare-earth metal, has economic concerns.</w:t>
      </w:r>
      <w:r w:rsidR="00EA6AB2">
        <w:rPr>
          <w:rFonts w:ascii="Arial" w:hAnsi="Arial" w:cs="Arial"/>
        </w:rPr>
        <w:t xml:space="preserve"> Currently, there are a lot of research going on to make RFBs have a better energy density and </w:t>
      </w:r>
      <w:r w:rsidR="00096DCE">
        <w:rPr>
          <w:rFonts w:ascii="Arial" w:hAnsi="Arial" w:cs="Arial"/>
        </w:rPr>
        <w:t>cheaper cost.</w:t>
      </w:r>
    </w:p>
    <w:p w14:paraId="36194CCD" w14:textId="77777777" w:rsidR="00F43000" w:rsidRDefault="00F43000" w:rsidP="002904CE">
      <w:pPr>
        <w:rPr>
          <w:rFonts w:ascii="Arial" w:hAnsi="Arial" w:cs="Arial"/>
        </w:rPr>
      </w:pPr>
    </w:p>
    <w:p w14:paraId="2D9697D6" w14:textId="77777777" w:rsidR="00BE7C72" w:rsidRDefault="00BE7C72" w:rsidP="002904CE">
      <w:pPr>
        <w:rPr>
          <w:rFonts w:ascii="Arial" w:hAnsi="Arial" w:cs="Arial"/>
          <w:b/>
          <w:bCs/>
        </w:rPr>
      </w:pPr>
      <w:r>
        <w:rPr>
          <w:rFonts w:ascii="Arial" w:hAnsi="Arial" w:cs="Arial"/>
          <w:b/>
          <w:bCs/>
        </w:rPr>
        <w:t>Redox-active polymers (RAPs)</w:t>
      </w:r>
    </w:p>
    <w:p w14:paraId="682620E0" w14:textId="77777777" w:rsidR="00A9011D" w:rsidRDefault="00BE7C72" w:rsidP="002904CE">
      <w:pPr>
        <w:rPr>
          <w:rFonts w:ascii="Arial" w:hAnsi="Arial" w:cs="Arial"/>
        </w:rPr>
      </w:pPr>
      <w:r>
        <w:rPr>
          <w:rFonts w:ascii="Arial" w:hAnsi="Arial" w:cs="Arial"/>
        </w:rPr>
        <w:t>Polymers are</w:t>
      </w:r>
      <w:r w:rsidR="003B3F93">
        <w:rPr>
          <w:rFonts w:ascii="Arial" w:hAnsi="Arial" w:cs="Arial"/>
        </w:rPr>
        <w:t xml:space="preserve"> molecules that contains </w:t>
      </w:r>
      <w:r w:rsidR="003A0CEF">
        <w:rPr>
          <w:rFonts w:ascii="Arial" w:hAnsi="Arial" w:cs="Arial"/>
        </w:rPr>
        <w:t xml:space="preserve">a large number of </w:t>
      </w:r>
      <w:r w:rsidR="003B3F93">
        <w:rPr>
          <w:rFonts w:ascii="Arial" w:hAnsi="Arial" w:cs="Arial"/>
        </w:rPr>
        <w:t xml:space="preserve">repeating units called monomers. </w:t>
      </w:r>
      <w:r w:rsidR="0092031A">
        <w:rPr>
          <w:rFonts w:ascii="Arial" w:hAnsi="Arial" w:cs="Arial"/>
        </w:rPr>
        <w:t xml:space="preserve">Because of their high molecular weight, polymers are oftentimes referred as macromolecules. </w:t>
      </w:r>
      <w:r w:rsidR="005D069C">
        <w:rPr>
          <w:rFonts w:ascii="Arial" w:hAnsi="Arial" w:cs="Arial"/>
        </w:rPr>
        <w:t xml:space="preserve">Out of all kinds of different polymers, there is one category called </w:t>
      </w:r>
      <w:r w:rsidR="001A2A4F">
        <w:rPr>
          <w:rFonts w:ascii="Arial" w:hAnsi="Arial" w:cs="Arial"/>
        </w:rPr>
        <w:t>redox-active polymers (RAPs)</w:t>
      </w:r>
      <w:r w:rsidR="00A9011D" w:rsidRPr="00A9011D">
        <w:rPr>
          <w:rFonts w:ascii="Arial" w:hAnsi="Arial" w:cs="Arial"/>
          <w:b/>
          <w:bCs/>
          <w:vertAlign w:val="superscript"/>
        </w:rPr>
        <w:t>4</w:t>
      </w:r>
      <w:r w:rsidR="001A2A4F">
        <w:rPr>
          <w:rFonts w:ascii="Arial" w:hAnsi="Arial" w:cs="Arial"/>
        </w:rPr>
        <w:t xml:space="preserve">. </w:t>
      </w:r>
    </w:p>
    <w:p w14:paraId="0150313B" w14:textId="77777777" w:rsidR="00A9011D" w:rsidRDefault="00A9011D" w:rsidP="00A9011D">
      <w:pPr>
        <w:jc w:val="center"/>
        <w:rPr>
          <w:rFonts w:ascii="Arial" w:hAnsi="Arial" w:cs="Arial"/>
        </w:rPr>
      </w:pPr>
    </w:p>
    <w:p w14:paraId="71AF22CE" w14:textId="77777777" w:rsidR="00A9011D" w:rsidRDefault="00A9011D" w:rsidP="00A9011D">
      <w:pPr>
        <w:jc w:val="center"/>
        <w:rPr>
          <w:rFonts w:ascii="Arial" w:hAnsi="Arial" w:cs="Arial"/>
        </w:rPr>
      </w:pPr>
      <w:r w:rsidRPr="00A9011D">
        <w:rPr>
          <w:rFonts w:ascii="Arial" w:hAnsi="Arial" w:cs="Arial"/>
        </w:rPr>
        <w:drawing>
          <wp:inline distT="0" distB="0" distL="0" distR="0" wp14:anchorId="5A1E4E5A" wp14:editId="7D29886F">
            <wp:extent cx="4870484" cy="2813538"/>
            <wp:effectExtent l="0" t="0" r="0" b="6350"/>
            <wp:docPr id="5122" name="Picture 2" descr="A diagram of different types of polymer&#10;&#10;Description automatically generated">
              <a:extLst xmlns:a="http://schemas.openxmlformats.org/drawingml/2006/main">
                <a:ext uri="{FF2B5EF4-FFF2-40B4-BE49-F238E27FC236}">
                  <a16:creationId xmlns:a16="http://schemas.microsoft.com/office/drawing/2014/main" id="{1AEE5C47-1501-264F-5C0C-CD2859A2B7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A diagram of different types of polymer&#10;&#10;Description automatically generated">
                      <a:extLst>
                        <a:ext uri="{FF2B5EF4-FFF2-40B4-BE49-F238E27FC236}">
                          <a16:creationId xmlns:a16="http://schemas.microsoft.com/office/drawing/2014/main" id="{1AEE5C47-1501-264F-5C0C-CD2859A2B78D}"/>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92658" cy="2826347"/>
                    </a:xfrm>
                    <a:prstGeom prst="rect">
                      <a:avLst/>
                    </a:prstGeom>
                    <a:noFill/>
                  </pic:spPr>
                </pic:pic>
              </a:graphicData>
            </a:graphic>
          </wp:inline>
        </w:drawing>
      </w:r>
    </w:p>
    <w:p w14:paraId="1B1CD899" w14:textId="46372CD2" w:rsidR="002029DE" w:rsidRDefault="00A9011D" w:rsidP="00A9011D">
      <w:pPr>
        <w:jc w:val="center"/>
        <w:rPr>
          <w:rFonts w:ascii="Arial" w:hAnsi="Arial" w:cs="Arial"/>
          <w:i/>
          <w:iCs/>
        </w:rPr>
      </w:pPr>
      <w:r>
        <w:rPr>
          <w:rFonts w:ascii="Arial" w:hAnsi="Arial" w:cs="Arial"/>
          <w:b/>
          <w:bCs/>
          <w:i/>
          <w:iCs/>
        </w:rPr>
        <w:t xml:space="preserve">Figure 4: </w:t>
      </w:r>
      <w:r w:rsidR="002029DE">
        <w:rPr>
          <w:rFonts w:ascii="Arial" w:hAnsi="Arial" w:cs="Arial"/>
          <w:i/>
          <w:iCs/>
        </w:rPr>
        <w:t>Different categories of RAPs</w:t>
      </w:r>
      <w:r w:rsidR="006B6F5C">
        <w:rPr>
          <w:rFonts w:ascii="Arial" w:hAnsi="Arial" w:cs="Arial"/>
          <w:i/>
          <w:iCs/>
        </w:rPr>
        <w:t>.</w:t>
      </w:r>
    </w:p>
    <w:p w14:paraId="010C4335" w14:textId="77777777" w:rsidR="002029DE" w:rsidRDefault="002029DE" w:rsidP="00A9011D">
      <w:pPr>
        <w:jc w:val="center"/>
        <w:rPr>
          <w:rFonts w:ascii="Arial" w:hAnsi="Arial" w:cs="Arial"/>
          <w:i/>
          <w:iCs/>
        </w:rPr>
      </w:pPr>
    </w:p>
    <w:p w14:paraId="43F99A8F" w14:textId="711B515A" w:rsidR="00D5034B" w:rsidRDefault="00DE4DED" w:rsidP="00B22FF7">
      <w:pPr>
        <w:rPr>
          <w:rFonts w:ascii="Arial" w:hAnsi="Arial" w:cs="Arial"/>
        </w:rPr>
      </w:pPr>
      <w:r>
        <w:rPr>
          <w:rFonts w:ascii="Arial" w:hAnsi="Arial" w:cs="Arial"/>
        </w:rPr>
        <w:lastRenderedPageBreak/>
        <w:t xml:space="preserve">RAPs are considered to be </w:t>
      </w:r>
      <w:r w:rsidR="00596E38">
        <w:rPr>
          <w:rFonts w:ascii="Arial" w:hAnsi="Arial" w:cs="Arial"/>
        </w:rPr>
        <w:t xml:space="preserve">the alternatives for traditional vanadium-based electrolyte for RFBs because of their (1) high energy density (2) </w:t>
      </w:r>
      <w:r w:rsidR="0074272F">
        <w:rPr>
          <w:rFonts w:ascii="Arial" w:hAnsi="Arial" w:cs="Arial"/>
        </w:rPr>
        <w:t>cheaper cost (3) ease of synthesis. Lots of research are being conducted on various kinds of RAPs, but the most important kinds of RAPs are redox active group-embedded polymers and redox active pendant-bearing polymers.</w:t>
      </w:r>
    </w:p>
    <w:p w14:paraId="49EBF482" w14:textId="77777777" w:rsidR="0074272F" w:rsidRDefault="0074272F" w:rsidP="00B22FF7">
      <w:pPr>
        <w:rPr>
          <w:rFonts w:ascii="Arial" w:hAnsi="Arial" w:cs="Arial"/>
        </w:rPr>
      </w:pPr>
    </w:p>
    <w:p w14:paraId="0DB2DD41" w14:textId="28909641" w:rsidR="0074272F" w:rsidRDefault="0074272F" w:rsidP="00B22FF7">
      <w:pPr>
        <w:rPr>
          <w:rFonts w:ascii="Arial" w:hAnsi="Arial" w:cs="Arial"/>
          <w:b/>
          <w:bCs/>
        </w:rPr>
      </w:pPr>
      <w:r>
        <w:rPr>
          <w:rFonts w:ascii="Arial" w:hAnsi="Arial" w:cs="Arial"/>
          <w:b/>
          <w:bCs/>
        </w:rPr>
        <w:t>Redox</w:t>
      </w:r>
      <w:r w:rsidR="00553849">
        <w:rPr>
          <w:rFonts w:ascii="Arial" w:hAnsi="Arial" w:cs="Arial"/>
          <w:b/>
          <w:bCs/>
        </w:rPr>
        <w:t xml:space="preserve"> </w:t>
      </w:r>
      <w:r>
        <w:rPr>
          <w:rFonts w:ascii="Arial" w:hAnsi="Arial" w:cs="Arial"/>
          <w:b/>
          <w:bCs/>
        </w:rPr>
        <w:t>Active Group</w:t>
      </w:r>
      <w:r w:rsidR="00553849">
        <w:rPr>
          <w:rFonts w:ascii="Arial" w:hAnsi="Arial" w:cs="Arial"/>
          <w:b/>
          <w:bCs/>
        </w:rPr>
        <w:t>-</w:t>
      </w:r>
      <w:r>
        <w:rPr>
          <w:rFonts w:ascii="Arial" w:hAnsi="Arial" w:cs="Arial"/>
          <w:b/>
          <w:bCs/>
        </w:rPr>
        <w:t>Embedded Polymers</w:t>
      </w:r>
    </w:p>
    <w:p w14:paraId="7878D3B7" w14:textId="3ACEACF0" w:rsidR="0043424C" w:rsidRDefault="00002BED" w:rsidP="00B22FF7">
      <w:pPr>
        <w:rPr>
          <w:rFonts w:ascii="Arial" w:hAnsi="Arial" w:cs="Arial"/>
          <w:bCs/>
        </w:rPr>
      </w:pPr>
      <w:r>
        <w:rPr>
          <w:rFonts w:ascii="Arial" w:hAnsi="Arial" w:cs="Arial"/>
          <w:bCs/>
        </w:rPr>
        <w:t xml:space="preserve">When a polymer has continuous π-bonds, the polymer is called conjugated polymer. </w:t>
      </w:r>
      <w:r w:rsidR="00F16E7D">
        <w:rPr>
          <w:rFonts w:ascii="Arial" w:hAnsi="Arial" w:cs="Arial"/>
          <w:bCs/>
        </w:rPr>
        <w:t xml:space="preserve">In a simpler word, if a polymer has continuous double or triple bond, it can be categorized as conjugated polymer. </w:t>
      </w:r>
      <w:r w:rsidR="00553849">
        <w:rPr>
          <w:rFonts w:ascii="Arial" w:hAnsi="Arial" w:cs="Arial"/>
          <w:bCs/>
        </w:rPr>
        <w:t>If a polymer has a redox</w:t>
      </w:r>
      <w:r w:rsidR="00A77966">
        <w:rPr>
          <w:rFonts w:ascii="Arial" w:hAnsi="Arial" w:cs="Arial"/>
          <w:bCs/>
        </w:rPr>
        <w:t xml:space="preserve"> </w:t>
      </w:r>
      <w:r w:rsidR="00553849">
        <w:rPr>
          <w:rFonts w:ascii="Arial" w:hAnsi="Arial" w:cs="Arial"/>
          <w:bCs/>
        </w:rPr>
        <w:t xml:space="preserve">active backbone, this polymer is </w:t>
      </w:r>
      <w:r w:rsidR="00A77966">
        <w:rPr>
          <w:rFonts w:ascii="Arial" w:hAnsi="Arial" w:cs="Arial"/>
          <w:bCs/>
        </w:rPr>
        <w:t xml:space="preserve">a </w:t>
      </w:r>
      <w:r w:rsidR="00553849">
        <w:rPr>
          <w:rFonts w:ascii="Arial" w:hAnsi="Arial" w:cs="Arial"/>
          <w:bCs/>
        </w:rPr>
        <w:t>redox active group-embedded polymer</w:t>
      </w:r>
      <w:r w:rsidR="00A77966">
        <w:rPr>
          <w:rFonts w:ascii="Arial" w:hAnsi="Arial" w:cs="Arial"/>
          <w:bCs/>
        </w:rPr>
        <w:t>. If the redox active group-embedded polymer is conjugated, then the polymer is conductive, because charges can propagate throughout the polymer by the continuous π-bonds.</w:t>
      </w:r>
      <w:r w:rsidR="00347357">
        <w:rPr>
          <w:rFonts w:ascii="Arial" w:hAnsi="Arial" w:cs="Arial"/>
          <w:bCs/>
        </w:rPr>
        <w:t xml:space="preserve"> Thus, some redox active group-embedded polymers are also referred to as conductive polymers. Polypyrrole</w:t>
      </w:r>
      <w:r w:rsidR="00595203" w:rsidRPr="00595203">
        <w:rPr>
          <w:rFonts w:ascii="Arial" w:hAnsi="Arial" w:cs="Arial"/>
          <w:b/>
          <w:vertAlign w:val="superscript"/>
        </w:rPr>
        <w:t>5</w:t>
      </w:r>
      <w:r w:rsidR="00347357">
        <w:rPr>
          <w:rFonts w:ascii="Arial" w:hAnsi="Arial" w:cs="Arial"/>
          <w:bCs/>
        </w:rPr>
        <w:t>, as an example, is one of the mostly researched conductive polymer.</w:t>
      </w:r>
    </w:p>
    <w:p w14:paraId="52803E4C" w14:textId="77777777" w:rsidR="00347357" w:rsidRPr="00002BED" w:rsidRDefault="00347357" w:rsidP="00B22FF7">
      <w:pPr>
        <w:rPr>
          <w:rFonts w:ascii="Arial" w:hAnsi="Arial" w:cs="Arial"/>
          <w:bCs/>
        </w:rPr>
      </w:pPr>
    </w:p>
    <w:p w14:paraId="67D42785" w14:textId="77777777" w:rsidR="00F3584A" w:rsidRDefault="00F3584A" w:rsidP="00B22FF7">
      <w:pPr>
        <w:rPr>
          <w:rFonts w:ascii="Arial" w:hAnsi="Arial" w:cs="Arial"/>
          <w:b/>
          <w:bCs/>
        </w:rPr>
      </w:pPr>
    </w:p>
    <w:p w14:paraId="18CE94BB" w14:textId="636E045E" w:rsidR="00F3584A" w:rsidRDefault="00F3584A" w:rsidP="00F3584A">
      <w:pPr>
        <w:jc w:val="center"/>
      </w:pPr>
      <w:r>
        <w:fldChar w:fldCharType="begin"/>
      </w:r>
      <w:r>
        <w:instrText xml:space="preserve"> INCLUDEPICTURE "https://www.researchgate.net/profile/K-Arshak/publication/224610983/figure/fig3/AS:667827891617808@1536233985969/Structure-of-polypyrrole.png" \* MERGEFORMATINET </w:instrText>
      </w:r>
      <w:r>
        <w:fldChar w:fldCharType="separate"/>
      </w:r>
      <w:r>
        <w:rPr>
          <w:noProof/>
        </w:rPr>
        <w:drawing>
          <wp:inline distT="0" distB="0" distL="0" distR="0" wp14:anchorId="190324F2" wp14:editId="2D994D46">
            <wp:extent cx="2868246" cy="1221150"/>
            <wp:effectExtent l="0" t="0" r="2540" b="0"/>
            <wp:docPr id="1591760625" name="Picture 1" descr="Structure of polypyrr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ucture of polypyrrol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2491" cy="1227215"/>
                    </a:xfrm>
                    <a:prstGeom prst="rect">
                      <a:avLst/>
                    </a:prstGeom>
                    <a:noFill/>
                    <a:ln>
                      <a:noFill/>
                    </a:ln>
                  </pic:spPr>
                </pic:pic>
              </a:graphicData>
            </a:graphic>
          </wp:inline>
        </w:drawing>
      </w:r>
      <w:r>
        <w:fldChar w:fldCharType="end"/>
      </w:r>
    </w:p>
    <w:p w14:paraId="3FB81A02" w14:textId="7E70BE08" w:rsidR="00F3584A" w:rsidRDefault="00A86186" w:rsidP="00F3584A">
      <w:pPr>
        <w:jc w:val="center"/>
        <w:rPr>
          <w:rFonts w:ascii="Arial" w:hAnsi="Arial" w:cs="Arial"/>
          <w:i/>
          <w:iCs/>
        </w:rPr>
      </w:pPr>
      <w:r>
        <w:rPr>
          <w:rFonts w:ascii="Arial" w:hAnsi="Arial" w:cs="Arial"/>
          <w:b/>
          <w:bCs/>
          <w:i/>
          <w:iCs/>
        </w:rPr>
        <w:t xml:space="preserve">Figure 5: </w:t>
      </w:r>
      <w:r>
        <w:rPr>
          <w:rFonts w:ascii="Arial" w:hAnsi="Arial" w:cs="Arial"/>
          <w:i/>
          <w:iCs/>
        </w:rPr>
        <w:t xml:space="preserve">The chemical structure of </w:t>
      </w:r>
      <w:proofErr w:type="spellStart"/>
      <w:r>
        <w:rPr>
          <w:rFonts w:ascii="Arial" w:hAnsi="Arial" w:cs="Arial"/>
          <w:i/>
          <w:iCs/>
        </w:rPr>
        <w:t>polypyrrole</w:t>
      </w:r>
      <w:proofErr w:type="spellEnd"/>
      <w:r>
        <w:rPr>
          <w:rFonts w:ascii="Arial" w:hAnsi="Arial" w:cs="Arial"/>
          <w:i/>
          <w:iCs/>
        </w:rPr>
        <w:t xml:space="preserve"> (</w:t>
      </w:r>
      <w:proofErr w:type="spellStart"/>
      <w:r>
        <w:rPr>
          <w:rFonts w:ascii="Arial" w:hAnsi="Arial" w:cs="Arial"/>
          <w:i/>
          <w:iCs/>
        </w:rPr>
        <w:t>Ppy</w:t>
      </w:r>
      <w:proofErr w:type="spellEnd"/>
      <w:r>
        <w:rPr>
          <w:rFonts w:ascii="Arial" w:hAnsi="Arial" w:cs="Arial"/>
          <w:i/>
          <w:iCs/>
        </w:rPr>
        <w:t>)</w:t>
      </w:r>
      <w:r w:rsidR="007C79CE">
        <w:rPr>
          <w:rFonts w:ascii="Arial" w:hAnsi="Arial" w:cs="Arial"/>
          <w:i/>
          <w:iCs/>
        </w:rPr>
        <w:t>, a widely researched redox-active group-embedded polymer</w:t>
      </w:r>
      <w:r w:rsidR="006B6F5C">
        <w:rPr>
          <w:rFonts w:ascii="Arial" w:hAnsi="Arial" w:cs="Arial"/>
          <w:i/>
          <w:iCs/>
        </w:rPr>
        <w:t>.</w:t>
      </w:r>
    </w:p>
    <w:p w14:paraId="22876DB7" w14:textId="77777777" w:rsidR="00347357" w:rsidRDefault="00347357" w:rsidP="00F3584A">
      <w:pPr>
        <w:jc w:val="center"/>
        <w:rPr>
          <w:rFonts w:ascii="Arial" w:hAnsi="Arial" w:cs="Arial"/>
          <w:i/>
          <w:iCs/>
        </w:rPr>
      </w:pPr>
    </w:p>
    <w:p w14:paraId="7E0F923E" w14:textId="4E00477A" w:rsidR="00347357" w:rsidRDefault="00FD707D" w:rsidP="00347357">
      <w:pPr>
        <w:rPr>
          <w:rFonts w:ascii="Arial" w:hAnsi="Arial" w:cs="Arial"/>
        </w:rPr>
      </w:pPr>
      <w:r>
        <w:rPr>
          <w:rFonts w:ascii="Arial" w:hAnsi="Arial" w:cs="Arial"/>
        </w:rPr>
        <w:t>O</w:t>
      </w:r>
      <w:r>
        <w:rPr>
          <w:rFonts w:ascii="Arial" w:hAnsi="Arial" w:cs="Arial" w:hint="eastAsia"/>
        </w:rPr>
        <w:t>n</w:t>
      </w:r>
      <w:r>
        <w:rPr>
          <w:rFonts w:ascii="Arial" w:hAnsi="Arial" w:cs="Arial"/>
        </w:rPr>
        <w:t xml:space="preserve">e special property that a </w:t>
      </w:r>
      <w:bookmarkStart w:id="0" w:name="OLE_LINK1"/>
      <w:r>
        <w:rPr>
          <w:rFonts w:ascii="Arial" w:hAnsi="Arial" w:cs="Arial"/>
        </w:rPr>
        <w:t>r</w:t>
      </w:r>
      <w:r w:rsidR="00347357">
        <w:rPr>
          <w:rFonts w:ascii="Arial" w:hAnsi="Arial" w:cs="Arial"/>
        </w:rPr>
        <w:t>edox active group-embedded polymer</w:t>
      </w:r>
      <w:r>
        <w:rPr>
          <w:rFonts w:ascii="Arial" w:hAnsi="Arial" w:cs="Arial"/>
        </w:rPr>
        <w:t xml:space="preserve"> </w:t>
      </w:r>
      <w:bookmarkEnd w:id="0"/>
      <w:r>
        <w:rPr>
          <w:rFonts w:ascii="Arial" w:hAnsi="Arial" w:cs="Arial"/>
        </w:rPr>
        <w:t>has is: it allows a so-called “redox targeting” mode to be achieved in RFBs. In redox targeting</w:t>
      </w:r>
      <w:r w:rsidR="00595203">
        <w:rPr>
          <w:rFonts w:ascii="Arial" w:hAnsi="Arial" w:cs="Arial"/>
          <w:b/>
          <w:bCs/>
          <w:color w:val="000000" w:themeColor="text1"/>
          <w:vertAlign w:val="superscript"/>
        </w:rPr>
        <w:t>6</w:t>
      </w:r>
      <w:r>
        <w:rPr>
          <w:rFonts w:ascii="Arial" w:hAnsi="Arial" w:cs="Arial"/>
        </w:rPr>
        <w:t xml:space="preserve">, </w:t>
      </w:r>
      <w:r w:rsidR="00CA7C92">
        <w:rPr>
          <w:rFonts w:ascii="Arial" w:hAnsi="Arial" w:cs="Arial"/>
        </w:rPr>
        <w:t xml:space="preserve">in additional to the electrolyte, a layer of </w:t>
      </w:r>
      <w:r w:rsidR="00CA7C92">
        <w:rPr>
          <w:rFonts w:ascii="Arial" w:hAnsi="Arial" w:cs="Arial"/>
        </w:rPr>
        <w:t>redox active group-embedded polymer</w:t>
      </w:r>
      <w:r w:rsidR="00CA7C92">
        <w:rPr>
          <w:rFonts w:ascii="Arial" w:hAnsi="Arial" w:cs="Arial"/>
        </w:rPr>
        <w:t xml:space="preserve"> is added into the system. After the electrolytes have been pumped into the electrochemical cell in the middle and redox reactions have taken place</w:t>
      </w:r>
      <w:r w:rsidR="00F01A79">
        <w:rPr>
          <w:rFonts w:ascii="Arial" w:hAnsi="Arial" w:cs="Arial"/>
        </w:rPr>
        <w:t xml:space="preserve"> to electrolyze the electrolytes</w:t>
      </w:r>
      <w:r w:rsidR="00CA7C92">
        <w:rPr>
          <w:rFonts w:ascii="Arial" w:hAnsi="Arial" w:cs="Arial"/>
        </w:rPr>
        <w:t xml:space="preserve">, the </w:t>
      </w:r>
      <w:r w:rsidR="00F01A79">
        <w:rPr>
          <w:rFonts w:ascii="Arial" w:hAnsi="Arial" w:cs="Arial"/>
        </w:rPr>
        <w:t xml:space="preserve">electrolyzed </w:t>
      </w:r>
      <w:r w:rsidR="00BB2FF7">
        <w:rPr>
          <w:rFonts w:ascii="Arial" w:hAnsi="Arial" w:cs="Arial"/>
        </w:rPr>
        <w:t xml:space="preserve">electrolytes are pumped into the tank that contains the </w:t>
      </w:r>
      <w:r w:rsidR="00BB2FF7">
        <w:rPr>
          <w:rFonts w:ascii="Arial" w:hAnsi="Arial" w:cs="Arial"/>
        </w:rPr>
        <w:t>redox active group-embedded polymer</w:t>
      </w:r>
      <w:r w:rsidR="00BB2FF7">
        <w:rPr>
          <w:rFonts w:ascii="Arial" w:hAnsi="Arial" w:cs="Arial"/>
        </w:rPr>
        <w:t xml:space="preserve">s. A chemical reaction will happen between the electrolyte species and the </w:t>
      </w:r>
      <w:r w:rsidR="00BB2FF7">
        <w:rPr>
          <w:rFonts w:ascii="Arial" w:hAnsi="Arial" w:cs="Arial"/>
        </w:rPr>
        <w:t>redox active group-embedded polymer</w:t>
      </w:r>
      <w:r w:rsidR="00BB2FF7">
        <w:rPr>
          <w:rFonts w:ascii="Arial" w:hAnsi="Arial" w:cs="Arial"/>
        </w:rPr>
        <w:t xml:space="preserve">. After this process, the </w:t>
      </w:r>
      <w:r w:rsidR="00F01A79">
        <w:rPr>
          <w:rFonts w:ascii="Arial" w:hAnsi="Arial" w:cs="Arial"/>
        </w:rPr>
        <w:t xml:space="preserve">electrolyzed </w:t>
      </w:r>
      <w:r w:rsidR="00BB2FF7">
        <w:rPr>
          <w:rFonts w:ascii="Arial" w:hAnsi="Arial" w:cs="Arial"/>
        </w:rPr>
        <w:t>electrolyte will retain its original form, and the charge</w:t>
      </w:r>
      <w:r w:rsidR="005A24ED">
        <w:rPr>
          <w:rFonts w:ascii="Arial" w:hAnsi="Arial" w:cs="Arial"/>
        </w:rPr>
        <w:t>s</w:t>
      </w:r>
      <w:r w:rsidR="00BB2FF7">
        <w:rPr>
          <w:rFonts w:ascii="Arial" w:hAnsi="Arial" w:cs="Arial"/>
        </w:rPr>
        <w:t xml:space="preserve"> that require to </w:t>
      </w:r>
      <w:r w:rsidR="00C52AB1">
        <w:rPr>
          <w:rFonts w:ascii="Arial" w:hAnsi="Arial" w:cs="Arial"/>
        </w:rPr>
        <w:t>convert the electrolyte</w:t>
      </w:r>
      <w:r w:rsidR="00983160">
        <w:rPr>
          <w:rFonts w:ascii="Arial" w:hAnsi="Arial" w:cs="Arial"/>
        </w:rPr>
        <w:t xml:space="preserve"> back to its original form is mediated by the </w:t>
      </w:r>
      <w:r w:rsidR="00983160" w:rsidRPr="00983160">
        <w:rPr>
          <w:rFonts w:ascii="Arial" w:hAnsi="Arial" w:cs="Arial"/>
        </w:rPr>
        <w:t>redox active group-embedded polymer</w:t>
      </w:r>
      <w:r w:rsidR="00983160">
        <w:rPr>
          <w:rFonts w:ascii="Arial" w:hAnsi="Arial" w:cs="Arial"/>
        </w:rPr>
        <w:t xml:space="preserve"> and </w:t>
      </w:r>
      <w:r w:rsidR="005A24ED">
        <w:rPr>
          <w:rFonts w:ascii="Arial" w:hAnsi="Arial" w:cs="Arial"/>
        </w:rPr>
        <w:t>will be transferred to the external circuit.</w:t>
      </w:r>
    </w:p>
    <w:p w14:paraId="76119FDB" w14:textId="713040FE" w:rsidR="00595203" w:rsidRDefault="00132226" w:rsidP="00347357">
      <w:pPr>
        <w:rPr>
          <w:rFonts w:ascii="Arial" w:hAnsi="Arial" w:cs="Arial"/>
        </w:rPr>
      </w:pPr>
      <w:r>
        <w:rPr>
          <w:rFonts w:ascii="Arial" w:hAnsi="Arial" w:cs="Arial"/>
        </w:rPr>
        <w:t xml:space="preserve">This redox targeting mode of </w:t>
      </w:r>
      <w:r w:rsidR="00235C82">
        <w:rPr>
          <w:rFonts w:ascii="Arial" w:hAnsi="Arial" w:cs="Arial"/>
        </w:rPr>
        <w:t xml:space="preserve">RFB operation significantly improves the energy density of the system because the charges are essentially stored </w:t>
      </w:r>
      <w:r w:rsidR="00FF641D">
        <w:rPr>
          <w:rFonts w:ascii="Arial" w:hAnsi="Arial" w:cs="Arial"/>
        </w:rPr>
        <w:t xml:space="preserve">inside the </w:t>
      </w:r>
      <w:r w:rsidR="00FF641D">
        <w:rPr>
          <w:rFonts w:ascii="Arial" w:hAnsi="Arial" w:cs="Arial"/>
        </w:rPr>
        <w:t>redox active group-embedded polymer</w:t>
      </w:r>
      <w:r w:rsidR="00FF641D">
        <w:rPr>
          <w:rFonts w:ascii="Arial" w:hAnsi="Arial" w:cs="Arial"/>
        </w:rPr>
        <w:t xml:space="preserve">, which is a solid-state medium that inherently has a higher density. </w:t>
      </w:r>
      <w:r w:rsidR="00400A2A">
        <w:rPr>
          <w:rFonts w:ascii="Arial" w:hAnsi="Arial" w:cs="Arial"/>
        </w:rPr>
        <w:t xml:space="preserve">Furthermore, the amount of electrolyte does not matter in RFBs in the redox targeting mode, because </w:t>
      </w:r>
      <w:r w:rsidR="00C7162B">
        <w:rPr>
          <w:rFonts w:ascii="Arial" w:hAnsi="Arial" w:cs="Arial"/>
        </w:rPr>
        <w:t xml:space="preserve">the capacity of the battery solely depends on the amount of charge the </w:t>
      </w:r>
      <w:r w:rsidR="00C7162B">
        <w:rPr>
          <w:rFonts w:ascii="Arial" w:hAnsi="Arial" w:cs="Arial"/>
        </w:rPr>
        <w:t>redox active group-embedded polymer</w:t>
      </w:r>
      <w:r w:rsidR="00C7162B">
        <w:rPr>
          <w:rFonts w:ascii="Arial" w:hAnsi="Arial" w:cs="Arial"/>
        </w:rPr>
        <w:t xml:space="preserve"> can mediate before being replaced. Therefore, if a </w:t>
      </w:r>
      <w:r w:rsidR="00A41AAF">
        <w:rPr>
          <w:rFonts w:ascii="Arial" w:hAnsi="Arial" w:cs="Arial"/>
        </w:rPr>
        <w:t>redox active group-embedded polymer</w:t>
      </w:r>
      <w:r w:rsidR="00A41AAF">
        <w:rPr>
          <w:rFonts w:ascii="Arial" w:hAnsi="Arial" w:cs="Arial"/>
        </w:rPr>
        <w:t xml:space="preserve"> </w:t>
      </w:r>
      <w:r w:rsidR="003B76CD">
        <w:rPr>
          <w:rFonts w:ascii="Arial" w:hAnsi="Arial" w:cs="Arial"/>
        </w:rPr>
        <w:t xml:space="preserve">that has a good capacity </w:t>
      </w:r>
      <w:r w:rsidR="00A41AAF">
        <w:rPr>
          <w:rFonts w:ascii="Arial" w:hAnsi="Arial" w:cs="Arial"/>
        </w:rPr>
        <w:t xml:space="preserve">can react with the </w:t>
      </w:r>
      <w:r w:rsidR="00A41AAF">
        <w:rPr>
          <w:rFonts w:ascii="Arial" w:hAnsi="Arial" w:cs="Arial"/>
        </w:rPr>
        <w:lastRenderedPageBreak/>
        <w:t>electrolyzed form of the electrolytes fast enough</w:t>
      </w:r>
      <w:r w:rsidR="003B76CD">
        <w:rPr>
          <w:rFonts w:ascii="Arial" w:hAnsi="Arial" w:cs="Arial"/>
        </w:rPr>
        <w:t>, RFBs can have a much larger energy density.</w:t>
      </w:r>
    </w:p>
    <w:p w14:paraId="4C5F8A66" w14:textId="77777777" w:rsidR="003B76CD" w:rsidRDefault="003B76CD" w:rsidP="00347357">
      <w:pPr>
        <w:rPr>
          <w:rFonts w:ascii="Arial" w:hAnsi="Arial" w:cs="Arial" w:hint="eastAsia"/>
        </w:rPr>
      </w:pPr>
    </w:p>
    <w:p w14:paraId="207DBE09" w14:textId="3E15C4DD" w:rsidR="00595203" w:rsidRDefault="00595203" w:rsidP="00595203">
      <w:pPr>
        <w:jc w:val="center"/>
        <w:rPr>
          <w:rFonts w:ascii="Arial" w:hAnsi="Arial" w:cs="Arial"/>
        </w:rPr>
      </w:pPr>
      <w:r w:rsidRPr="00595203">
        <w:rPr>
          <w:rFonts w:ascii="Arial" w:hAnsi="Arial" w:cs="Arial"/>
        </w:rPr>
        <w:drawing>
          <wp:inline distT="0" distB="0" distL="0" distR="0" wp14:anchorId="642E2DD8" wp14:editId="2F2B7519">
            <wp:extent cx="2961983" cy="2189977"/>
            <wp:effectExtent l="0" t="0" r="0" b="0"/>
            <wp:docPr id="33" name="Picture 32" descr="Diagram of a diagram of a nuclear reactor&#10;&#10;Description automatically generated">
              <a:extLst xmlns:a="http://schemas.openxmlformats.org/drawingml/2006/main">
                <a:ext uri="{FF2B5EF4-FFF2-40B4-BE49-F238E27FC236}">
                  <a16:creationId xmlns:a16="http://schemas.microsoft.com/office/drawing/2014/main" id="{0E741D01-C0CF-82BD-8FBC-58A5EA543C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2" descr="Diagram of a diagram of a nuclear reactor&#10;&#10;Description automatically generated">
                      <a:extLst>
                        <a:ext uri="{FF2B5EF4-FFF2-40B4-BE49-F238E27FC236}">
                          <a16:creationId xmlns:a16="http://schemas.microsoft.com/office/drawing/2014/main" id="{0E741D01-C0CF-82BD-8FBC-58A5EA543C21}"/>
                        </a:ext>
                      </a:extLst>
                    </pic:cNvPr>
                    <pic:cNvPicPr>
                      <a:picLocks noChangeAspect="1"/>
                    </pic:cNvPicPr>
                  </pic:nvPicPr>
                  <pic:blipFill>
                    <a:blip r:embed="rId11"/>
                    <a:stretch>
                      <a:fillRect/>
                    </a:stretch>
                  </pic:blipFill>
                  <pic:spPr>
                    <a:xfrm>
                      <a:off x="0" y="0"/>
                      <a:ext cx="2961983" cy="2189977"/>
                    </a:xfrm>
                    <a:prstGeom prst="rect">
                      <a:avLst/>
                    </a:prstGeom>
                  </pic:spPr>
                </pic:pic>
              </a:graphicData>
            </a:graphic>
          </wp:inline>
        </w:drawing>
      </w:r>
    </w:p>
    <w:p w14:paraId="177E352F" w14:textId="65E557EC" w:rsidR="003B76CD" w:rsidRDefault="003B76CD" w:rsidP="00595203">
      <w:pPr>
        <w:jc w:val="center"/>
        <w:rPr>
          <w:rFonts w:ascii="Arial" w:hAnsi="Arial" w:cs="Arial"/>
          <w:i/>
          <w:iCs/>
        </w:rPr>
      </w:pPr>
      <w:r>
        <w:rPr>
          <w:rFonts w:ascii="Arial" w:hAnsi="Arial" w:cs="Arial"/>
          <w:b/>
          <w:bCs/>
          <w:i/>
          <w:iCs/>
        </w:rPr>
        <w:t xml:space="preserve">Figure 6: </w:t>
      </w:r>
      <w:r>
        <w:rPr>
          <w:rFonts w:ascii="Arial" w:hAnsi="Arial" w:cs="Arial"/>
          <w:i/>
          <w:iCs/>
        </w:rPr>
        <w:t>The operational mode of a redox targeting RFB.</w:t>
      </w:r>
    </w:p>
    <w:p w14:paraId="60EB7CAC" w14:textId="77777777" w:rsidR="003B76CD" w:rsidRDefault="003B76CD" w:rsidP="00595203">
      <w:pPr>
        <w:jc w:val="center"/>
        <w:rPr>
          <w:rFonts w:ascii="Arial" w:hAnsi="Arial" w:cs="Arial"/>
          <w:i/>
          <w:iCs/>
        </w:rPr>
      </w:pPr>
    </w:p>
    <w:p w14:paraId="0B8811B4" w14:textId="556177D1" w:rsidR="003B76CD" w:rsidRDefault="00492F1B" w:rsidP="003B76CD">
      <w:pPr>
        <w:rPr>
          <w:rFonts w:ascii="Arial" w:hAnsi="Arial" w:cs="Arial"/>
        </w:rPr>
      </w:pPr>
      <w:r>
        <w:rPr>
          <w:rFonts w:ascii="Arial" w:hAnsi="Arial" w:cs="Arial"/>
        </w:rPr>
        <w:t xml:space="preserve">One of the disadvantages of </w:t>
      </w:r>
      <w:r>
        <w:rPr>
          <w:rFonts w:ascii="Arial" w:hAnsi="Arial" w:cs="Arial"/>
        </w:rPr>
        <w:t>redox active group-embedded polymer</w:t>
      </w:r>
      <w:r>
        <w:rPr>
          <w:rFonts w:ascii="Arial" w:hAnsi="Arial" w:cs="Arial"/>
        </w:rPr>
        <w:t xml:space="preserve">s is: incorporating the redox targeting mode of RFBs </w:t>
      </w:r>
      <w:r w:rsidR="000A45A2">
        <w:rPr>
          <w:rFonts w:ascii="Arial" w:hAnsi="Arial" w:cs="Arial"/>
        </w:rPr>
        <w:t xml:space="preserve">adds complexity to the system. One needs another one or two </w:t>
      </w:r>
      <w:r w:rsidR="000929BA">
        <w:rPr>
          <w:rFonts w:ascii="Arial" w:hAnsi="Arial" w:cs="Arial" w:hint="eastAsia"/>
        </w:rPr>
        <w:t>pum</w:t>
      </w:r>
      <w:r w:rsidR="000929BA">
        <w:rPr>
          <w:rFonts w:ascii="Arial" w:hAnsi="Arial" w:cs="Arial"/>
        </w:rPr>
        <w:t>ps to pump the electrolyte into the chamber</w:t>
      </w:r>
      <w:r w:rsidR="0024139C">
        <w:rPr>
          <w:rFonts w:ascii="Arial" w:hAnsi="Arial" w:cs="Arial"/>
        </w:rPr>
        <w:t xml:space="preserve">. Furthermore, </w:t>
      </w:r>
      <w:r w:rsidR="00D373C6">
        <w:rPr>
          <w:rFonts w:ascii="Arial" w:hAnsi="Arial" w:cs="Arial"/>
        </w:rPr>
        <w:t xml:space="preserve">one still needs to replace or charge the </w:t>
      </w:r>
      <w:r w:rsidR="00D373C6">
        <w:rPr>
          <w:rFonts w:ascii="Arial" w:hAnsi="Arial" w:cs="Arial"/>
        </w:rPr>
        <w:t>redox active group-embedded polymers</w:t>
      </w:r>
      <w:r w:rsidR="00D373C6">
        <w:rPr>
          <w:rFonts w:ascii="Arial" w:hAnsi="Arial" w:cs="Arial"/>
        </w:rPr>
        <w:t xml:space="preserve"> so that the redox targeting mode can be continuously achieved. Second, </w:t>
      </w:r>
      <w:r w:rsidR="00B254E3">
        <w:rPr>
          <w:rFonts w:ascii="Arial" w:hAnsi="Arial" w:cs="Arial"/>
        </w:rPr>
        <w:t xml:space="preserve">the </w:t>
      </w:r>
      <w:r w:rsidR="00B254E3">
        <w:rPr>
          <w:rFonts w:ascii="Arial" w:hAnsi="Arial" w:cs="Arial"/>
        </w:rPr>
        <w:t>redox active group-embedded polymers</w:t>
      </w:r>
      <w:r w:rsidR="00B254E3">
        <w:rPr>
          <w:rFonts w:ascii="Arial" w:hAnsi="Arial" w:cs="Arial"/>
        </w:rPr>
        <w:t xml:space="preserve"> are still mostly in the research stage.</w:t>
      </w:r>
    </w:p>
    <w:p w14:paraId="53859602" w14:textId="77777777" w:rsidR="00B254E3" w:rsidRDefault="00B254E3" w:rsidP="003B76CD">
      <w:pPr>
        <w:rPr>
          <w:rFonts w:ascii="Arial" w:hAnsi="Arial" w:cs="Arial"/>
        </w:rPr>
      </w:pPr>
    </w:p>
    <w:p w14:paraId="006D5D82" w14:textId="2C29E446" w:rsidR="00B254E3" w:rsidRDefault="00B254E3" w:rsidP="003B76CD">
      <w:pPr>
        <w:rPr>
          <w:rFonts w:ascii="Arial" w:hAnsi="Arial" w:cs="Arial"/>
          <w:b/>
          <w:bCs/>
        </w:rPr>
      </w:pPr>
      <w:r>
        <w:rPr>
          <w:rFonts w:ascii="Arial" w:hAnsi="Arial" w:cs="Arial"/>
          <w:b/>
          <w:bCs/>
        </w:rPr>
        <w:t>Redox Active Pendant-Bearing Polymers</w:t>
      </w:r>
    </w:p>
    <w:p w14:paraId="33FE3F3F" w14:textId="3B03F7DA" w:rsidR="00547321" w:rsidRDefault="00547321" w:rsidP="003B76CD">
      <w:pPr>
        <w:rPr>
          <w:rFonts w:ascii="Arial" w:hAnsi="Arial" w:cs="Arial"/>
        </w:rPr>
      </w:pPr>
      <w:r>
        <w:rPr>
          <w:rFonts w:ascii="Arial" w:hAnsi="Arial" w:cs="Arial"/>
        </w:rPr>
        <w:t xml:space="preserve">Unlike </w:t>
      </w:r>
      <w:r>
        <w:rPr>
          <w:rFonts w:ascii="Arial" w:hAnsi="Arial" w:cs="Arial"/>
        </w:rPr>
        <w:t>redox active group-embedded polymers</w:t>
      </w:r>
      <w:r>
        <w:rPr>
          <w:rFonts w:ascii="Arial" w:hAnsi="Arial" w:cs="Arial"/>
        </w:rPr>
        <w:t>, redox active pendant-bearing polymers</w:t>
      </w:r>
      <w:r w:rsidR="00273662">
        <w:rPr>
          <w:rFonts w:ascii="Arial" w:hAnsi="Arial" w:cs="Arial"/>
        </w:rPr>
        <w:t xml:space="preserve"> have a</w:t>
      </w:r>
      <w:r w:rsidR="00941093">
        <w:rPr>
          <w:rFonts w:ascii="Arial" w:hAnsi="Arial" w:cs="Arial"/>
        </w:rPr>
        <w:t xml:space="preserve"> backbone that is not </w:t>
      </w:r>
      <w:r w:rsidR="00273662">
        <w:rPr>
          <w:rFonts w:ascii="Arial" w:hAnsi="Arial" w:cs="Arial"/>
        </w:rPr>
        <w:t>conductive</w:t>
      </w:r>
      <w:r w:rsidR="00941093">
        <w:rPr>
          <w:rFonts w:ascii="Arial" w:hAnsi="Arial" w:cs="Arial"/>
        </w:rPr>
        <w:t xml:space="preserve">. However, one can attach redox active </w:t>
      </w:r>
      <w:r w:rsidR="00221933">
        <w:rPr>
          <w:rFonts w:ascii="Arial" w:hAnsi="Arial" w:cs="Arial"/>
        </w:rPr>
        <w:t>functional groups onto the polymer backbone, and this process is commonly referred as chemical grafting.</w:t>
      </w:r>
    </w:p>
    <w:p w14:paraId="3C2BC99E" w14:textId="78EA43BF" w:rsidR="00B254E3" w:rsidRDefault="007D7D65" w:rsidP="003B76CD">
      <w:pPr>
        <w:rPr>
          <w:rFonts w:ascii="Arial" w:hAnsi="Arial" w:cs="Arial"/>
        </w:rPr>
      </w:pPr>
      <w:r>
        <w:rPr>
          <w:rFonts w:ascii="Arial" w:hAnsi="Arial" w:cs="Arial"/>
        </w:rPr>
        <w:t>Theoretically, there is no limitation on the number of redox-active functional groups that can be attached to the backbone of the polymer</w:t>
      </w:r>
      <w:r w:rsidR="00BA10F4" w:rsidRPr="00BA10F4">
        <w:rPr>
          <w:rFonts w:ascii="Arial" w:hAnsi="Arial" w:cs="Arial"/>
          <w:b/>
          <w:bCs/>
          <w:vertAlign w:val="superscript"/>
        </w:rPr>
        <w:t>7</w:t>
      </w:r>
      <w:r>
        <w:rPr>
          <w:rFonts w:ascii="Arial" w:hAnsi="Arial" w:cs="Arial"/>
        </w:rPr>
        <w:t xml:space="preserve">. When these </w:t>
      </w:r>
      <w:r>
        <w:rPr>
          <w:rFonts w:ascii="Arial" w:hAnsi="Arial" w:cs="Arial"/>
        </w:rPr>
        <w:t>redox active pendant-bearing polymers</w:t>
      </w:r>
      <w:r>
        <w:rPr>
          <w:rFonts w:ascii="Arial" w:hAnsi="Arial" w:cs="Arial"/>
        </w:rPr>
        <w:t xml:space="preserve"> are dissolved into solution</w:t>
      </w:r>
      <w:r w:rsidR="00DE7BDC">
        <w:rPr>
          <w:rFonts w:ascii="Arial" w:hAnsi="Arial" w:cs="Arial"/>
        </w:rPr>
        <w:t xml:space="preserve"> and undergo electrochemical reactions, all the redox-active groups can react simultaneously. Thus, multiple electron transfer events can occur on a single </w:t>
      </w:r>
      <w:r w:rsidR="00DE7BDC">
        <w:rPr>
          <w:rFonts w:ascii="Arial" w:hAnsi="Arial" w:cs="Arial"/>
        </w:rPr>
        <w:t>redox active pendant-bearing polymer</w:t>
      </w:r>
      <w:r w:rsidR="00DE7BDC">
        <w:rPr>
          <w:rFonts w:ascii="Arial" w:hAnsi="Arial" w:cs="Arial"/>
        </w:rPr>
        <w:t xml:space="preserve"> molecule at the same time. Thus, the energy density is significantly improved, as for traditional inorganic electrolytes, only one or two electrons can be transferred to a single molecule.</w:t>
      </w:r>
    </w:p>
    <w:p w14:paraId="43280E17" w14:textId="086E35EF" w:rsidR="000E553F" w:rsidRDefault="000E553F" w:rsidP="003B76CD">
      <w:pPr>
        <w:rPr>
          <w:rFonts w:ascii="Arial" w:hAnsi="Arial" w:cs="Arial"/>
        </w:rPr>
      </w:pPr>
      <w:r>
        <w:rPr>
          <w:rFonts w:ascii="Arial" w:hAnsi="Arial" w:cs="Arial"/>
        </w:rPr>
        <w:t xml:space="preserve">The capacity of RFBs that apply </w:t>
      </w:r>
      <w:r>
        <w:rPr>
          <w:rFonts w:ascii="Arial" w:hAnsi="Arial" w:cs="Arial"/>
        </w:rPr>
        <w:t>redox active pendant-bearing polymers</w:t>
      </w:r>
      <w:r>
        <w:rPr>
          <w:rFonts w:ascii="Arial" w:hAnsi="Arial" w:cs="Arial"/>
        </w:rPr>
        <w:t xml:space="preserve"> is only limited by (1) The amount of redox active functional groups that can be attached to the polymer backbone (2) The solubility of the </w:t>
      </w:r>
      <w:r>
        <w:rPr>
          <w:rFonts w:ascii="Arial" w:hAnsi="Arial" w:cs="Arial"/>
        </w:rPr>
        <w:t>redox active pendant-bearing polymers</w:t>
      </w:r>
      <w:r>
        <w:rPr>
          <w:rFonts w:ascii="Arial" w:hAnsi="Arial" w:cs="Arial"/>
        </w:rPr>
        <w:t xml:space="preserve"> inside the electrolyte solution. Although in this way the RFBs use a completely different electrolyte, the setup is still same.</w:t>
      </w:r>
    </w:p>
    <w:p w14:paraId="35C52EF9" w14:textId="4234A3CF" w:rsidR="000E553F" w:rsidRDefault="000E553F" w:rsidP="003B76CD">
      <w:pPr>
        <w:rPr>
          <w:rFonts w:ascii="Arial" w:hAnsi="Arial" w:cs="Arial"/>
        </w:rPr>
      </w:pPr>
      <w:r>
        <w:rPr>
          <w:rFonts w:ascii="Arial" w:hAnsi="Arial" w:cs="Arial"/>
        </w:rPr>
        <w:t>Despite the</w:t>
      </w:r>
      <w:r w:rsidR="0060447D">
        <w:rPr>
          <w:rFonts w:ascii="Arial" w:hAnsi="Arial" w:cs="Arial"/>
        </w:rPr>
        <w:t xml:space="preserve"> advantages </w:t>
      </w:r>
      <w:r w:rsidR="0060447D">
        <w:rPr>
          <w:rFonts w:ascii="Arial" w:hAnsi="Arial" w:cs="Arial"/>
        </w:rPr>
        <w:t>redox active pendant-bearing polymers</w:t>
      </w:r>
      <w:r w:rsidR="0060447D">
        <w:rPr>
          <w:rFonts w:ascii="Arial" w:hAnsi="Arial" w:cs="Arial"/>
        </w:rPr>
        <w:t xml:space="preserve"> possess, there are some main drawbacks. First, the behavior of </w:t>
      </w:r>
      <w:r w:rsidR="0060447D">
        <w:rPr>
          <w:rFonts w:ascii="Arial" w:hAnsi="Arial" w:cs="Arial"/>
        </w:rPr>
        <w:t>redox active pendant-bearing polymers</w:t>
      </w:r>
      <w:r w:rsidR="0060447D">
        <w:rPr>
          <w:rFonts w:ascii="Arial" w:hAnsi="Arial" w:cs="Arial"/>
        </w:rPr>
        <w:t xml:space="preserve"> is significantly dependent on the solvent. The </w:t>
      </w:r>
      <w:proofErr w:type="gramStart"/>
      <w:r w:rsidR="0060447D">
        <w:rPr>
          <w:rFonts w:ascii="Arial" w:hAnsi="Arial" w:cs="Arial"/>
        </w:rPr>
        <w:t>amount</w:t>
      </w:r>
      <w:proofErr w:type="gramEnd"/>
      <w:r w:rsidR="0060447D">
        <w:rPr>
          <w:rFonts w:ascii="Arial" w:hAnsi="Arial" w:cs="Arial"/>
        </w:rPr>
        <w:t xml:space="preserve"> of salts in the solvent may affect the morphology of the </w:t>
      </w:r>
      <w:r w:rsidR="0060447D">
        <w:rPr>
          <w:rFonts w:ascii="Arial" w:hAnsi="Arial" w:cs="Arial"/>
        </w:rPr>
        <w:t>redox active pendant-bearing polymers</w:t>
      </w:r>
      <w:r w:rsidR="0060447D">
        <w:rPr>
          <w:rFonts w:ascii="Arial" w:hAnsi="Arial" w:cs="Arial"/>
        </w:rPr>
        <w:t xml:space="preserve"> and thus complicates </w:t>
      </w:r>
      <w:r w:rsidR="00553435">
        <w:rPr>
          <w:rFonts w:ascii="Arial" w:hAnsi="Arial" w:cs="Arial"/>
        </w:rPr>
        <w:t xml:space="preserve">the electron transfer process a lot. Second, </w:t>
      </w:r>
      <w:r w:rsidR="004A04B6">
        <w:rPr>
          <w:rFonts w:ascii="Arial" w:hAnsi="Arial" w:cs="Arial"/>
        </w:rPr>
        <w:t>redox active pendant-bearing polymers</w:t>
      </w:r>
      <w:r w:rsidR="004A04B6">
        <w:rPr>
          <w:rFonts w:ascii="Arial" w:hAnsi="Arial" w:cs="Arial"/>
        </w:rPr>
        <w:t xml:space="preserve"> have </w:t>
      </w:r>
      <w:r w:rsidR="004A04B6">
        <w:rPr>
          <w:rFonts w:ascii="Arial" w:hAnsi="Arial" w:cs="Arial"/>
        </w:rPr>
        <w:lastRenderedPageBreak/>
        <w:t xml:space="preserve">totally different solution dynamics compared to traditional aqueous electrolytes. Aqueous electrolytes are typically non-viscous, while most organic electrolytes are highly viscous. Viscosity will slow down the </w:t>
      </w:r>
      <w:r w:rsidR="00EB4591">
        <w:rPr>
          <w:rFonts w:ascii="Arial" w:hAnsi="Arial" w:cs="Arial"/>
        </w:rPr>
        <w:t xml:space="preserve">transfer of </w:t>
      </w:r>
      <w:r w:rsidR="00EB4591">
        <w:rPr>
          <w:rFonts w:ascii="Arial" w:hAnsi="Arial" w:cs="Arial"/>
        </w:rPr>
        <w:t>redox active pendant-bearing polymers</w:t>
      </w:r>
      <w:r w:rsidR="00EB4591">
        <w:rPr>
          <w:rFonts w:ascii="Arial" w:hAnsi="Arial" w:cs="Arial"/>
        </w:rPr>
        <w:t xml:space="preserve"> to the electrochemical cell, which will add </w:t>
      </w:r>
      <w:r w:rsidR="00BA10F4">
        <w:rPr>
          <w:rFonts w:ascii="Arial" w:hAnsi="Arial" w:cs="Arial"/>
        </w:rPr>
        <w:t>internal resistance to the RFBs.</w:t>
      </w:r>
    </w:p>
    <w:p w14:paraId="6FCF25CE" w14:textId="77777777" w:rsidR="00BA10F4" w:rsidRDefault="00BA10F4" w:rsidP="003B76CD">
      <w:pPr>
        <w:rPr>
          <w:rFonts w:ascii="Arial" w:hAnsi="Arial" w:cs="Arial"/>
        </w:rPr>
      </w:pPr>
    </w:p>
    <w:p w14:paraId="19C92A1D" w14:textId="51DE8431" w:rsidR="003B690B" w:rsidRDefault="003B690B" w:rsidP="003B690B">
      <w:pPr>
        <w:jc w:val="center"/>
        <w:rPr>
          <w:rFonts w:ascii="Arial" w:hAnsi="Arial" w:cs="Arial"/>
        </w:rPr>
      </w:pPr>
      <w:r w:rsidRPr="003B690B">
        <w:rPr>
          <w:rFonts w:ascii="Arial" w:hAnsi="Arial" w:cs="Arial"/>
        </w:rPr>
        <w:drawing>
          <wp:inline distT="0" distB="0" distL="0" distR="0" wp14:anchorId="60823393" wp14:editId="5C1A0A29">
            <wp:extent cx="4055715" cy="1365107"/>
            <wp:effectExtent l="0" t="0" r="0" b="0"/>
            <wp:docPr id="8194" name="Picture 2">
              <a:extLst xmlns:a="http://schemas.openxmlformats.org/drawingml/2006/main">
                <a:ext uri="{FF2B5EF4-FFF2-40B4-BE49-F238E27FC236}">
                  <a16:creationId xmlns:a16="http://schemas.microsoft.com/office/drawing/2014/main" id="{E85AB952-51E8-748A-C2F5-A2592D2F61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 name="Picture 2">
                      <a:extLst>
                        <a:ext uri="{FF2B5EF4-FFF2-40B4-BE49-F238E27FC236}">
                          <a16:creationId xmlns:a16="http://schemas.microsoft.com/office/drawing/2014/main" id="{E85AB952-51E8-748A-C2F5-A2592D2F6103}"/>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55715" cy="1365107"/>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5FCD1945" w14:textId="253EF6A1" w:rsidR="003B690B" w:rsidRPr="003B690B" w:rsidRDefault="003B690B" w:rsidP="003B690B">
      <w:pPr>
        <w:jc w:val="center"/>
        <w:rPr>
          <w:rFonts w:ascii="Arial" w:hAnsi="Arial" w:cs="Arial"/>
          <w:i/>
          <w:iCs/>
        </w:rPr>
      </w:pPr>
      <w:r>
        <w:rPr>
          <w:rFonts w:ascii="Arial" w:hAnsi="Arial" w:cs="Arial"/>
          <w:b/>
          <w:bCs/>
          <w:i/>
          <w:iCs/>
        </w:rPr>
        <w:t xml:space="preserve">Figure 7: </w:t>
      </w:r>
      <w:r>
        <w:rPr>
          <w:rFonts w:ascii="Arial" w:hAnsi="Arial" w:cs="Arial"/>
          <w:i/>
          <w:iCs/>
        </w:rPr>
        <w:t xml:space="preserve">the chemical structure of redox active pendant-bearing polymers and different </w:t>
      </w:r>
      <w:r w:rsidR="00547321">
        <w:rPr>
          <w:rFonts w:ascii="Arial" w:hAnsi="Arial" w:cs="Arial"/>
          <w:i/>
          <w:iCs/>
        </w:rPr>
        <w:t>processes that can affect their performance</w:t>
      </w:r>
      <w:r w:rsidR="00221933">
        <w:rPr>
          <w:rFonts w:ascii="Arial" w:hAnsi="Arial" w:cs="Arial"/>
          <w:i/>
          <w:iCs/>
        </w:rPr>
        <w:t>.</w:t>
      </w:r>
    </w:p>
    <w:p w14:paraId="5F1D581C" w14:textId="77777777" w:rsidR="0043424C" w:rsidRDefault="0043424C" w:rsidP="00D5034B">
      <w:pPr>
        <w:rPr>
          <w:rFonts w:ascii="Arial" w:hAnsi="Arial" w:cs="Arial"/>
        </w:rPr>
      </w:pPr>
    </w:p>
    <w:p w14:paraId="00DD7574" w14:textId="77777777" w:rsidR="00DC5A88" w:rsidRDefault="005E4ABC" w:rsidP="005E4ABC">
      <w:pPr>
        <w:jc w:val="both"/>
        <w:rPr>
          <w:rFonts w:ascii="Arial" w:hAnsi="Arial" w:cs="Arial"/>
        </w:rPr>
      </w:pPr>
      <w:r>
        <w:rPr>
          <w:rFonts w:ascii="Arial" w:hAnsi="Arial" w:cs="Arial"/>
        </w:rPr>
        <w:t>A</w:t>
      </w:r>
      <w:r>
        <w:rPr>
          <w:rFonts w:ascii="Arial" w:hAnsi="Arial" w:cs="Arial" w:hint="eastAsia"/>
        </w:rPr>
        <w:t>l</w:t>
      </w:r>
      <w:r>
        <w:rPr>
          <w:rFonts w:ascii="Arial" w:hAnsi="Arial" w:cs="Arial"/>
        </w:rPr>
        <w:t xml:space="preserve">though </w:t>
      </w:r>
      <w:r>
        <w:rPr>
          <w:rFonts w:ascii="Arial" w:hAnsi="Arial" w:cs="Arial"/>
        </w:rPr>
        <w:t xml:space="preserve">redox active pendant-bearing polymers </w:t>
      </w:r>
      <w:r>
        <w:rPr>
          <w:rFonts w:ascii="Arial" w:hAnsi="Arial" w:cs="Arial"/>
        </w:rPr>
        <w:t xml:space="preserve">are also still in the research stage, due to its high energy density, ease of synthesis, and </w:t>
      </w:r>
      <w:r w:rsidR="00DC5A88">
        <w:rPr>
          <w:rFonts w:ascii="Arial" w:hAnsi="Arial" w:cs="Arial"/>
        </w:rPr>
        <w:t xml:space="preserve">ease of use, </w:t>
      </w:r>
      <w:r>
        <w:rPr>
          <w:rFonts w:ascii="Arial" w:hAnsi="Arial" w:cs="Arial"/>
        </w:rPr>
        <w:t>it is a promising substitute for traditional metal-based electrolytes for RFBs.</w:t>
      </w:r>
    </w:p>
    <w:p w14:paraId="628F12CC" w14:textId="77777777" w:rsidR="00DC5A88" w:rsidRDefault="00DC5A88" w:rsidP="005E4ABC">
      <w:pPr>
        <w:jc w:val="both"/>
        <w:rPr>
          <w:rFonts w:ascii="Arial" w:hAnsi="Arial" w:cs="Arial"/>
        </w:rPr>
      </w:pPr>
    </w:p>
    <w:p w14:paraId="42D4EF7E" w14:textId="77777777" w:rsidR="00DC5A88" w:rsidRDefault="00DC5A88" w:rsidP="005E4ABC">
      <w:pPr>
        <w:jc w:val="both"/>
        <w:rPr>
          <w:rFonts w:ascii="Arial" w:hAnsi="Arial" w:cs="Arial"/>
          <w:b/>
          <w:bCs/>
        </w:rPr>
      </w:pPr>
      <w:r>
        <w:rPr>
          <w:rFonts w:ascii="Arial" w:hAnsi="Arial" w:cs="Arial"/>
          <w:b/>
          <w:bCs/>
        </w:rPr>
        <w:t>Summary</w:t>
      </w:r>
    </w:p>
    <w:p w14:paraId="6CE4178B" w14:textId="37DF22FE" w:rsidR="004D0EEC" w:rsidRPr="00A9011D" w:rsidRDefault="00DC5A88" w:rsidP="005E4ABC">
      <w:pPr>
        <w:jc w:val="both"/>
        <w:rPr>
          <w:rFonts w:ascii="Arial" w:hAnsi="Arial" w:cs="Arial"/>
        </w:rPr>
      </w:pPr>
      <w:r>
        <w:rPr>
          <w:rFonts w:ascii="Arial" w:hAnsi="Arial" w:cs="Arial"/>
        </w:rPr>
        <w:t>Redox-flow batteries (RFBs) are a promising clean technique for grid-energy storage. However, traditional vanadium based RFBs have cost</w:t>
      </w:r>
      <w:r w:rsidR="00D01E76">
        <w:rPr>
          <w:rFonts w:ascii="Arial" w:hAnsi="Arial" w:cs="Arial"/>
        </w:rPr>
        <w:t xml:space="preserve"> and energy density issues. To  circumvent the issues that traditional RFB electrolytes possess, </w:t>
      </w:r>
      <w:r w:rsidR="00B066DF">
        <w:rPr>
          <w:rFonts w:ascii="Arial" w:hAnsi="Arial" w:cs="Arial"/>
        </w:rPr>
        <w:t>one should consider finding substitutes for traditional electrolytes. One of the most promising substitutes is redox-active polymers (</w:t>
      </w:r>
      <w:r w:rsidR="00BE0BD1">
        <w:rPr>
          <w:rFonts w:ascii="Arial" w:hAnsi="Arial" w:cs="Arial"/>
        </w:rPr>
        <w:t>RAPs</w:t>
      </w:r>
      <w:r w:rsidR="00B066DF">
        <w:rPr>
          <w:rFonts w:ascii="Arial" w:hAnsi="Arial" w:cs="Arial"/>
        </w:rPr>
        <w:t xml:space="preserve">). One can use </w:t>
      </w:r>
      <w:r w:rsidR="00B066DF">
        <w:rPr>
          <w:rFonts w:ascii="Arial" w:hAnsi="Arial" w:cs="Arial"/>
        </w:rPr>
        <w:t>redox active group-embedded polymers</w:t>
      </w:r>
      <w:r w:rsidR="00B066DF">
        <w:rPr>
          <w:rFonts w:ascii="Arial" w:hAnsi="Arial" w:cs="Arial"/>
        </w:rPr>
        <w:t xml:space="preserve"> and use RFBs in the redox targeting mode to improve the capacity and energy density of the system. However, this mode is more complicated and needs additional apparatus. Alternatively, one can use </w:t>
      </w:r>
      <w:r w:rsidR="00B066DF">
        <w:rPr>
          <w:rFonts w:ascii="Arial" w:hAnsi="Arial" w:cs="Arial"/>
        </w:rPr>
        <w:t xml:space="preserve">redox active pendant-bearing polymers </w:t>
      </w:r>
      <w:r w:rsidR="0057565F">
        <w:rPr>
          <w:rFonts w:ascii="Arial" w:hAnsi="Arial" w:cs="Arial"/>
        </w:rPr>
        <w:t xml:space="preserve">as flowable electrolytes to achieve the same effects. However, the performance of </w:t>
      </w:r>
      <w:r w:rsidR="0057565F">
        <w:rPr>
          <w:rFonts w:ascii="Arial" w:hAnsi="Arial" w:cs="Arial"/>
        </w:rPr>
        <w:t>redox active pendant-bearing polymers</w:t>
      </w:r>
      <w:r w:rsidR="0057565F">
        <w:rPr>
          <w:rFonts w:ascii="Arial" w:hAnsi="Arial" w:cs="Arial"/>
        </w:rPr>
        <w:t xml:space="preserve"> is complicated and thus requires more systematic research.</w:t>
      </w:r>
      <w:r w:rsidR="004D0EEC">
        <w:rPr>
          <w:rFonts w:ascii="Arial" w:hAnsi="Arial" w:cs="Arial"/>
        </w:rPr>
        <w:br w:type="page"/>
      </w:r>
    </w:p>
    <w:p w14:paraId="4E269946" w14:textId="5313E0FB" w:rsidR="00DD69D8" w:rsidRDefault="004D0EEC" w:rsidP="00DD69D8">
      <w:pPr>
        <w:rPr>
          <w:rFonts w:ascii="Arial" w:hAnsi="Arial" w:cs="Arial"/>
          <w:b/>
          <w:bCs/>
        </w:rPr>
      </w:pPr>
      <w:r w:rsidRPr="004D0EEC">
        <w:rPr>
          <w:rFonts w:ascii="Arial" w:hAnsi="Arial" w:cs="Arial"/>
          <w:b/>
          <w:bCs/>
        </w:rPr>
        <w:lastRenderedPageBreak/>
        <w:t>Reference:</w:t>
      </w:r>
    </w:p>
    <w:p w14:paraId="6046B9BE" w14:textId="731EBB17" w:rsidR="00F60E17" w:rsidRDefault="004D0EEC" w:rsidP="00507906">
      <w:pPr>
        <w:rPr>
          <w:rFonts w:ascii="Calibri" w:hAnsi="Calibri" w:cs="Calibri"/>
          <w:color w:val="000000"/>
          <w:sz w:val="27"/>
          <w:szCs w:val="27"/>
        </w:rPr>
      </w:pPr>
      <w:r>
        <w:rPr>
          <w:rFonts w:ascii="Arial" w:hAnsi="Arial" w:cs="Arial"/>
          <w:b/>
          <w:bCs/>
        </w:rPr>
        <w:t xml:space="preserve">[1] </w:t>
      </w:r>
      <w:r w:rsidR="00F60E17" w:rsidRPr="00F60E17">
        <w:rPr>
          <w:rFonts w:ascii="Calibri" w:hAnsi="Calibri" w:cs="Calibri"/>
          <w:color w:val="000000"/>
          <w:sz w:val="27"/>
          <w:szCs w:val="27"/>
        </w:rPr>
        <w:t>NOAA. </w:t>
      </w:r>
      <w:r w:rsidR="00F60E17" w:rsidRPr="00F60E17">
        <w:rPr>
          <w:rFonts w:ascii="Calibri" w:hAnsi="Calibri" w:cs="Calibri"/>
          <w:i/>
          <w:iCs/>
          <w:color w:val="000000"/>
          <w:sz w:val="27"/>
          <w:szCs w:val="27"/>
        </w:rPr>
        <w:t>Annual 2022 global climate report | national centers for environmental Information (NCEI)</w:t>
      </w:r>
      <w:r w:rsidR="00F60E17" w:rsidRPr="00F60E17">
        <w:rPr>
          <w:rFonts w:ascii="Calibri" w:hAnsi="Calibri" w:cs="Calibri"/>
          <w:color w:val="000000"/>
          <w:sz w:val="27"/>
          <w:szCs w:val="27"/>
        </w:rPr>
        <w:t xml:space="preserve">. www.ncei.noaa.gov. </w:t>
      </w:r>
      <w:hyperlink r:id="rId13" w:history="1">
        <w:r w:rsidR="00F60E17" w:rsidRPr="00F60E17">
          <w:rPr>
            <w:rStyle w:val="Hyperlink"/>
            <w:rFonts w:ascii="Calibri" w:hAnsi="Calibri" w:cs="Calibri"/>
            <w:sz w:val="27"/>
            <w:szCs w:val="27"/>
          </w:rPr>
          <w:t>https://www.ncei.noaa.gov/access/monitoring/monthly-report/global/202213</w:t>
        </w:r>
      </w:hyperlink>
      <w:r w:rsidR="00F60E17" w:rsidRPr="00F60E17">
        <w:rPr>
          <w:rFonts w:ascii="Calibri" w:hAnsi="Calibri" w:cs="Calibri"/>
          <w:color w:val="000000"/>
          <w:sz w:val="27"/>
          <w:szCs w:val="27"/>
        </w:rPr>
        <w:t>.</w:t>
      </w:r>
    </w:p>
    <w:p w14:paraId="1AC45CC3" w14:textId="79AE712C" w:rsidR="00507906" w:rsidRDefault="00507906" w:rsidP="002904CE">
      <w:pPr>
        <w:rPr>
          <w:rFonts w:ascii="Calibri" w:hAnsi="Calibri" w:cs="Calibri"/>
          <w:color w:val="000000"/>
          <w:sz w:val="27"/>
          <w:szCs w:val="27"/>
        </w:rPr>
      </w:pPr>
      <w:r>
        <w:rPr>
          <w:rFonts w:ascii="Calibri" w:hAnsi="Calibri" w:cs="Calibri"/>
          <w:b/>
          <w:bCs/>
          <w:color w:val="000000"/>
          <w:sz w:val="27"/>
          <w:szCs w:val="27"/>
        </w:rPr>
        <w:t xml:space="preserve">[2] </w:t>
      </w:r>
      <w:r>
        <w:rPr>
          <w:rFonts w:ascii="Calibri" w:hAnsi="Calibri" w:cs="Calibri"/>
          <w:color w:val="000000"/>
          <w:sz w:val="27"/>
          <w:szCs w:val="27"/>
        </w:rPr>
        <w:t>Goodenough, J. B.; Park, K.-S. The Li-Ion Rechargeable Battery: A Perspective. </w:t>
      </w:r>
      <w:r>
        <w:rPr>
          <w:rFonts w:ascii="Calibri" w:hAnsi="Calibri" w:cs="Calibri"/>
          <w:i/>
          <w:iCs/>
          <w:color w:val="000000"/>
          <w:sz w:val="27"/>
          <w:szCs w:val="27"/>
        </w:rPr>
        <w:t>Journal of the American Chemical Society</w:t>
      </w:r>
      <w:r>
        <w:rPr>
          <w:rFonts w:ascii="Calibri" w:hAnsi="Calibri" w:cs="Calibri"/>
          <w:color w:val="000000"/>
          <w:sz w:val="27"/>
          <w:szCs w:val="27"/>
        </w:rPr>
        <w:t> </w:t>
      </w:r>
      <w:r>
        <w:rPr>
          <w:rFonts w:ascii="Calibri" w:hAnsi="Calibri" w:cs="Calibri"/>
          <w:b/>
          <w:bCs/>
          <w:color w:val="000000"/>
          <w:sz w:val="27"/>
          <w:szCs w:val="27"/>
        </w:rPr>
        <w:t>2013</w:t>
      </w:r>
      <w:r>
        <w:rPr>
          <w:rFonts w:ascii="Calibri" w:hAnsi="Calibri" w:cs="Calibri"/>
          <w:color w:val="000000"/>
          <w:sz w:val="27"/>
          <w:szCs w:val="27"/>
        </w:rPr>
        <w:t>, </w:t>
      </w:r>
      <w:r>
        <w:rPr>
          <w:rFonts w:ascii="Calibri" w:hAnsi="Calibri" w:cs="Calibri"/>
          <w:i/>
          <w:iCs/>
          <w:color w:val="000000"/>
          <w:sz w:val="27"/>
          <w:szCs w:val="27"/>
        </w:rPr>
        <w:t>135</w:t>
      </w:r>
      <w:r>
        <w:rPr>
          <w:rFonts w:ascii="Calibri" w:hAnsi="Calibri" w:cs="Calibri"/>
          <w:color w:val="000000"/>
          <w:sz w:val="27"/>
          <w:szCs w:val="27"/>
        </w:rPr>
        <w:t xml:space="preserve"> (4), 1167–1176. </w:t>
      </w:r>
      <w:hyperlink r:id="rId14" w:history="1">
        <w:r w:rsidR="002904CE" w:rsidRPr="00443586">
          <w:rPr>
            <w:rStyle w:val="Hyperlink"/>
            <w:rFonts w:ascii="Calibri" w:hAnsi="Calibri" w:cs="Calibri"/>
            <w:sz w:val="27"/>
            <w:szCs w:val="27"/>
          </w:rPr>
          <w:t>https://doi.org/10.1021/ja3091438</w:t>
        </w:r>
      </w:hyperlink>
      <w:r>
        <w:rPr>
          <w:rFonts w:ascii="Calibri" w:hAnsi="Calibri" w:cs="Calibri"/>
          <w:color w:val="000000"/>
          <w:sz w:val="27"/>
          <w:szCs w:val="27"/>
        </w:rPr>
        <w:t>.</w:t>
      </w:r>
    </w:p>
    <w:p w14:paraId="6E14B656" w14:textId="25ED9130" w:rsidR="002904CE" w:rsidRDefault="002904CE" w:rsidP="002904CE">
      <w:pPr>
        <w:rPr>
          <w:rFonts w:ascii="Calibri" w:hAnsi="Calibri" w:cs="Calibri"/>
          <w:color w:val="000000"/>
          <w:sz w:val="27"/>
          <w:szCs w:val="27"/>
        </w:rPr>
      </w:pPr>
      <w:r w:rsidRPr="002904CE">
        <w:rPr>
          <w:rFonts w:ascii="Calibri" w:hAnsi="Calibri" w:cs="Calibri"/>
          <w:b/>
          <w:bCs/>
          <w:color w:val="000000"/>
          <w:sz w:val="27"/>
          <w:szCs w:val="27"/>
        </w:rPr>
        <w:t>[3]</w:t>
      </w:r>
      <w:r>
        <w:rPr>
          <w:rFonts w:ascii="Calibri" w:hAnsi="Calibri" w:cs="Calibri"/>
          <w:color w:val="000000"/>
          <w:sz w:val="27"/>
          <w:szCs w:val="27"/>
        </w:rPr>
        <w:t xml:space="preserve"> </w:t>
      </w:r>
      <w:r w:rsidRPr="002904CE">
        <w:rPr>
          <w:rFonts w:ascii="Calibri" w:hAnsi="Calibri" w:cs="Calibri"/>
          <w:color w:val="000000"/>
          <w:sz w:val="27"/>
          <w:szCs w:val="27"/>
        </w:rPr>
        <w:t>Pan, F.; Wang, Q. Redox Species of Redox Flow Batteries:</w:t>
      </w:r>
      <w:r>
        <w:rPr>
          <w:rFonts w:ascii="Calibri" w:hAnsi="Calibri" w:cs="Calibri"/>
          <w:color w:val="000000"/>
          <w:sz w:val="27"/>
          <w:szCs w:val="27"/>
        </w:rPr>
        <w:t xml:space="preserve"> A </w:t>
      </w:r>
      <w:r w:rsidRPr="002904CE">
        <w:rPr>
          <w:rFonts w:ascii="Calibri" w:hAnsi="Calibri" w:cs="Calibri"/>
          <w:color w:val="000000"/>
          <w:sz w:val="27"/>
          <w:szCs w:val="27"/>
        </w:rPr>
        <w:t>Review. </w:t>
      </w:r>
      <w:r w:rsidRPr="002904CE">
        <w:rPr>
          <w:rFonts w:ascii="Calibri" w:hAnsi="Calibri" w:cs="Calibri"/>
          <w:i/>
          <w:iCs/>
          <w:color w:val="000000"/>
          <w:sz w:val="27"/>
          <w:szCs w:val="27"/>
        </w:rPr>
        <w:t>Molecules</w:t>
      </w:r>
      <w:r w:rsidRPr="002904CE">
        <w:rPr>
          <w:rFonts w:ascii="Calibri" w:hAnsi="Calibri" w:cs="Calibri"/>
          <w:color w:val="000000"/>
          <w:sz w:val="27"/>
          <w:szCs w:val="27"/>
        </w:rPr>
        <w:t> </w:t>
      </w:r>
      <w:r w:rsidRPr="002904CE">
        <w:rPr>
          <w:rFonts w:ascii="Calibri" w:hAnsi="Calibri" w:cs="Calibri"/>
          <w:b/>
          <w:bCs/>
          <w:color w:val="000000"/>
          <w:sz w:val="27"/>
          <w:szCs w:val="27"/>
        </w:rPr>
        <w:t>2015</w:t>
      </w:r>
      <w:r w:rsidRPr="002904CE">
        <w:rPr>
          <w:rFonts w:ascii="Calibri" w:hAnsi="Calibri" w:cs="Calibri"/>
          <w:color w:val="000000"/>
          <w:sz w:val="27"/>
          <w:szCs w:val="27"/>
        </w:rPr>
        <w:t>, </w:t>
      </w:r>
      <w:r w:rsidRPr="002904CE">
        <w:rPr>
          <w:rFonts w:ascii="Calibri" w:hAnsi="Calibri" w:cs="Calibri"/>
          <w:i/>
          <w:iCs/>
          <w:color w:val="000000"/>
          <w:sz w:val="27"/>
          <w:szCs w:val="27"/>
        </w:rPr>
        <w:t>20</w:t>
      </w:r>
      <w:r w:rsidRPr="002904CE">
        <w:rPr>
          <w:rFonts w:ascii="Calibri" w:hAnsi="Calibri" w:cs="Calibri"/>
          <w:color w:val="000000"/>
          <w:sz w:val="27"/>
          <w:szCs w:val="27"/>
        </w:rPr>
        <w:t xml:space="preserve"> (11), 20499–20517. </w:t>
      </w:r>
      <w:hyperlink r:id="rId15" w:history="1">
        <w:r w:rsidRPr="00443586">
          <w:rPr>
            <w:rStyle w:val="Hyperlink"/>
            <w:rFonts w:ascii="Calibri" w:hAnsi="Calibri" w:cs="Calibri"/>
            <w:sz w:val="27"/>
            <w:szCs w:val="27"/>
          </w:rPr>
          <w:t>https://doi.org/10.3390/molecules201119711</w:t>
        </w:r>
      </w:hyperlink>
      <w:r w:rsidRPr="002904CE">
        <w:rPr>
          <w:rFonts w:ascii="Calibri" w:hAnsi="Calibri" w:cs="Calibri"/>
          <w:color w:val="000000"/>
          <w:sz w:val="27"/>
          <w:szCs w:val="27"/>
        </w:rPr>
        <w:t>.</w:t>
      </w:r>
    </w:p>
    <w:p w14:paraId="66161EBB" w14:textId="4A727CB4" w:rsidR="00507906" w:rsidRDefault="00595203" w:rsidP="00507906">
      <w:pPr>
        <w:rPr>
          <w:rFonts w:ascii="Calibri" w:hAnsi="Calibri" w:cs="Calibri"/>
          <w:color w:val="000000"/>
          <w:sz w:val="27"/>
          <w:szCs w:val="27"/>
        </w:rPr>
      </w:pPr>
      <w:r w:rsidRPr="003C187A">
        <w:rPr>
          <w:rFonts w:ascii="Calibri" w:hAnsi="Calibri" w:cs="Calibri"/>
          <w:b/>
          <w:bCs/>
          <w:color w:val="000000"/>
          <w:sz w:val="27"/>
          <w:szCs w:val="27"/>
        </w:rPr>
        <w:t>[4]</w:t>
      </w:r>
      <w:r>
        <w:rPr>
          <w:rFonts w:ascii="Calibri" w:hAnsi="Calibri" w:cs="Calibri"/>
          <w:color w:val="000000"/>
          <w:sz w:val="27"/>
          <w:szCs w:val="27"/>
        </w:rPr>
        <w:t xml:space="preserve"> </w:t>
      </w:r>
      <w:r w:rsidRPr="00595203">
        <w:rPr>
          <w:rFonts w:ascii="Calibri" w:hAnsi="Calibri" w:cs="Calibri"/>
          <w:color w:val="000000"/>
          <w:sz w:val="27"/>
          <w:szCs w:val="27"/>
        </w:rPr>
        <w:t xml:space="preserve">Kim, J.; Kim, J. H.; </w:t>
      </w:r>
      <w:proofErr w:type="spellStart"/>
      <w:r w:rsidRPr="00595203">
        <w:rPr>
          <w:rFonts w:ascii="Calibri" w:hAnsi="Calibri" w:cs="Calibri"/>
          <w:color w:val="000000"/>
          <w:sz w:val="27"/>
          <w:szCs w:val="27"/>
        </w:rPr>
        <w:t>Ariga</w:t>
      </w:r>
      <w:proofErr w:type="spellEnd"/>
      <w:r w:rsidRPr="00595203">
        <w:rPr>
          <w:rFonts w:ascii="Calibri" w:hAnsi="Calibri" w:cs="Calibri"/>
          <w:color w:val="000000"/>
          <w:sz w:val="27"/>
          <w:szCs w:val="27"/>
        </w:rPr>
        <w:t xml:space="preserve">, K. Redox-Active Polymers for Energy Storage </w:t>
      </w:r>
      <w:proofErr w:type="spellStart"/>
      <w:r w:rsidRPr="00595203">
        <w:rPr>
          <w:rFonts w:ascii="Calibri" w:hAnsi="Calibri" w:cs="Calibri"/>
          <w:color w:val="000000"/>
          <w:sz w:val="27"/>
          <w:szCs w:val="27"/>
        </w:rPr>
        <w:t>Nanoarchitectonics</w:t>
      </w:r>
      <w:proofErr w:type="spellEnd"/>
      <w:r w:rsidRPr="00595203">
        <w:rPr>
          <w:rFonts w:ascii="Calibri" w:hAnsi="Calibri" w:cs="Calibri"/>
          <w:color w:val="000000"/>
          <w:sz w:val="27"/>
          <w:szCs w:val="27"/>
        </w:rPr>
        <w:t>. </w:t>
      </w:r>
      <w:r w:rsidRPr="00595203">
        <w:rPr>
          <w:rFonts w:ascii="Calibri" w:hAnsi="Calibri" w:cs="Calibri"/>
          <w:i/>
          <w:iCs/>
          <w:color w:val="000000"/>
          <w:sz w:val="27"/>
          <w:szCs w:val="27"/>
        </w:rPr>
        <w:t>Joule</w:t>
      </w:r>
      <w:r w:rsidRPr="00595203">
        <w:rPr>
          <w:rFonts w:ascii="Calibri" w:hAnsi="Calibri" w:cs="Calibri"/>
          <w:color w:val="000000"/>
          <w:sz w:val="27"/>
          <w:szCs w:val="27"/>
        </w:rPr>
        <w:t> </w:t>
      </w:r>
      <w:r w:rsidRPr="00595203">
        <w:rPr>
          <w:rFonts w:ascii="Calibri" w:hAnsi="Calibri" w:cs="Calibri"/>
          <w:b/>
          <w:bCs/>
          <w:color w:val="000000"/>
          <w:sz w:val="27"/>
          <w:szCs w:val="27"/>
        </w:rPr>
        <w:t>2017</w:t>
      </w:r>
      <w:r w:rsidRPr="00595203">
        <w:rPr>
          <w:rFonts w:ascii="Calibri" w:hAnsi="Calibri" w:cs="Calibri"/>
          <w:color w:val="000000"/>
          <w:sz w:val="27"/>
          <w:szCs w:val="27"/>
        </w:rPr>
        <w:t>, </w:t>
      </w:r>
      <w:r w:rsidRPr="00595203">
        <w:rPr>
          <w:rFonts w:ascii="Calibri" w:hAnsi="Calibri" w:cs="Calibri"/>
          <w:i/>
          <w:iCs/>
          <w:color w:val="000000"/>
          <w:sz w:val="27"/>
          <w:szCs w:val="27"/>
        </w:rPr>
        <w:t>1</w:t>
      </w:r>
      <w:r w:rsidRPr="00595203">
        <w:rPr>
          <w:rFonts w:ascii="Calibri" w:hAnsi="Calibri" w:cs="Calibri"/>
          <w:color w:val="000000"/>
          <w:sz w:val="27"/>
          <w:szCs w:val="27"/>
        </w:rPr>
        <w:t xml:space="preserve"> (4), 739–768. </w:t>
      </w:r>
      <w:hyperlink r:id="rId16" w:history="1">
        <w:r w:rsidRPr="00443586">
          <w:rPr>
            <w:rStyle w:val="Hyperlink"/>
            <w:rFonts w:ascii="Calibri" w:hAnsi="Calibri" w:cs="Calibri"/>
            <w:sz w:val="27"/>
            <w:szCs w:val="27"/>
          </w:rPr>
          <w:t>https://doi.org/10.1016/j.joule.2017.08.018</w:t>
        </w:r>
      </w:hyperlink>
      <w:r w:rsidRPr="00595203">
        <w:rPr>
          <w:rFonts w:ascii="Calibri" w:hAnsi="Calibri" w:cs="Calibri"/>
          <w:color w:val="000000"/>
          <w:sz w:val="27"/>
          <w:szCs w:val="27"/>
        </w:rPr>
        <w:t>.</w:t>
      </w:r>
    </w:p>
    <w:p w14:paraId="40DF3D46" w14:textId="0D8C51AE" w:rsidR="00A303FA" w:rsidRDefault="00595203" w:rsidP="00A303FA">
      <w:pPr>
        <w:rPr>
          <w:rFonts w:ascii="Calibri" w:hAnsi="Calibri" w:cs="Calibri"/>
          <w:color w:val="000000"/>
          <w:sz w:val="27"/>
          <w:szCs w:val="27"/>
        </w:rPr>
      </w:pPr>
      <w:r w:rsidRPr="003C187A">
        <w:rPr>
          <w:rFonts w:ascii="Calibri" w:hAnsi="Calibri" w:cs="Calibri"/>
          <w:b/>
          <w:bCs/>
          <w:color w:val="000000"/>
          <w:sz w:val="27"/>
          <w:szCs w:val="27"/>
        </w:rPr>
        <w:t>[5]</w:t>
      </w:r>
      <w:r>
        <w:rPr>
          <w:rFonts w:ascii="Calibri" w:hAnsi="Calibri" w:cs="Calibri"/>
          <w:color w:val="000000"/>
          <w:sz w:val="27"/>
          <w:szCs w:val="27"/>
        </w:rPr>
        <w:t xml:space="preserve"> </w:t>
      </w:r>
      <w:proofErr w:type="spellStart"/>
      <w:r w:rsidR="00A303FA" w:rsidRPr="00A303FA">
        <w:rPr>
          <w:rFonts w:ascii="Calibri" w:hAnsi="Calibri" w:cs="Calibri"/>
          <w:color w:val="000000"/>
          <w:sz w:val="27"/>
          <w:szCs w:val="27"/>
        </w:rPr>
        <w:t>Arshak</w:t>
      </w:r>
      <w:proofErr w:type="spellEnd"/>
      <w:r w:rsidR="00A303FA" w:rsidRPr="00A303FA">
        <w:rPr>
          <w:rFonts w:ascii="Calibri" w:hAnsi="Calibri" w:cs="Calibri"/>
          <w:color w:val="000000"/>
          <w:sz w:val="27"/>
          <w:szCs w:val="27"/>
        </w:rPr>
        <w:t xml:space="preserve">, K.; </w:t>
      </w:r>
      <w:proofErr w:type="spellStart"/>
      <w:r w:rsidR="00A303FA" w:rsidRPr="00A303FA">
        <w:rPr>
          <w:rFonts w:ascii="Calibri" w:hAnsi="Calibri" w:cs="Calibri"/>
          <w:color w:val="000000"/>
          <w:sz w:val="27"/>
          <w:szCs w:val="27"/>
        </w:rPr>
        <w:t>Velusamy</w:t>
      </w:r>
      <w:proofErr w:type="spellEnd"/>
      <w:r w:rsidR="00A303FA" w:rsidRPr="00A303FA">
        <w:rPr>
          <w:rFonts w:ascii="Calibri" w:hAnsi="Calibri" w:cs="Calibri"/>
          <w:color w:val="000000"/>
          <w:sz w:val="27"/>
          <w:szCs w:val="27"/>
        </w:rPr>
        <w:t xml:space="preserve">, V.; </w:t>
      </w:r>
      <w:proofErr w:type="spellStart"/>
      <w:r w:rsidR="00A303FA" w:rsidRPr="00A303FA">
        <w:rPr>
          <w:rFonts w:ascii="Calibri" w:hAnsi="Calibri" w:cs="Calibri"/>
          <w:color w:val="000000"/>
          <w:sz w:val="27"/>
          <w:szCs w:val="27"/>
        </w:rPr>
        <w:t>Korostynska</w:t>
      </w:r>
      <w:proofErr w:type="spellEnd"/>
      <w:r w:rsidR="00A303FA" w:rsidRPr="00A303FA">
        <w:rPr>
          <w:rFonts w:ascii="Calibri" w:hAnsi="Calibri" w:cs="Calibri"/>
          <w:color w:val="000000"/>
          <w:sz w:val="27"/>
          <w:szCs w:val="27"/>
        </w:rPr>
        <w:t xml:space="preserve">, O.; </w:t>
      </w:r>
      <w:proofErr w:type="spellStart"/>
      <w:r w:rsidR="00A303FA" w:rsidRPr="00A303FA">
        <w:rPr>
          <w:rFonts w:ascii="Calibri" w:hAnsi="Calibri" w:cs="Calibri"/>
          <w:color w:val="000000"/>
          <w:sz w:val="27"/>
          <w:szCs w:val="27"/>
        </w:rPr>
        <w:t>Oliwa-Stasiak</w:t>
      </w:r>
      <w:proofErr w:type="spellEnd"/>
      <w:r w:rsidR="00A303FA" w:rsidRPr="00A303FA">
        <w:rPr>
          <w:rFonts w:ascii="Calibri" w:hAnsi="Calibri" w:cs="Calibri"/>
          <w:color w:val="000000"/>
          <w:sz w:val="27"/>
          <w:szCs w:val="27"/>
        </w:rPr>
        <w:t xml:space="preserve">, K.; </w:t>
      </w:r>
      <w:proofErr w:type="spellStart"/>
      <w:r w:rsidR="00A303FA" w:rsidRPr="00A303FA">
        <w:rPr>
          <w:rFonts w:ascii="Calibri" w:hAnsi="Calibri" w:cs="Calibri"/>
          <w:color w:val="000000"/>
          <w:sz w:val="27"/>
          <w:szCs w:val="27"/>
        </w:rPr>
        <w:t>Adley</w:t>
      </w:r>
      <w:proofErr w:type="spellEnd"/>
      <w:r w:rsidR="00A303FA" w:rsidRPr="00A303FA">
        <w:rPr>
          <w:rFonts w:ascii="Calibri" w:hAnsi="Calibri" w:cs="Calibri"/>
          <w:color w:val="000000"/>
          <w:sz w:val="27"/>
          <w:szCs w:val="27"/>
        </w:rPr>
        <w:t>, C. Conducting Polymers and Their Applications to Biosensors: Emphasizing on Foodborne Pathogen Detection. </w:t>
      </w:r>
      <w:r w:rsidR="00A303FA" w:rsidRPr="00A303FA">
        <w:rPr>
          <w:rFonts w:ascii="Calibri" w:hAnsi="Calibri" w:cs="Calibri"/>
          <w:i/>
          <w:iCs/>
          <w:color w:val="000000"/>
          <w:sz w:val="27"/>
          <w:szCs w:val="27"/>
        </w:rPr>
        <w:t>IEEE Sensors Journal</w:t>
      </w:r>
      <w:r w:rsidR="00A303FA" w:rsidRPr="00A303FA">
        <w:rPr>
          <w:rFonts w:ascii="Calibri" w:hAnsi="Calibri" w:cs="Calibri"/>
          <w:color w:val="000000"/>
          <w:sz w:val="27"/>
          <w:szCs w:val="27"/>
        </w:rPr>
        <w:t> </w:t>
      </w:r>
      <w:r w:rsidR="00A303FA" w:rsidRPr="00A303FA">
        <w:rPr>
          <w:rFonts w:ascii="Calibri" w:hAnsi="Calibri" w:cs="Calibri"/>
          <w:b/>
          <w:bCs/>
          <w:color w:val="000000"/>
          <w:sz w:val="27"/>
          <w:szCs w:val="27"/>
        </w:rPr>
        <w:t>2009</w:t>
      </w:r>
      <w:r w:rsidR="00A303FA" w:rsidRPr="00A303FA">
        <w:rPr>
          <w:rFonts w:ascii="Calibri" w:hAnsi="Calibri" w:cs="Calibri"/>
          <w:color w:val="000000"/>
          <w:sz w:val="27"/>
          <w:szCs w:val="27"/>
        </w:rPr>
        <w:t>, </w:t>
      </w:r>
      <w:r w:rsidR="00A303FA" w:rsidRPr="00A303FA">
        <w:rPr>
          <w:rFonts w:ascii="Calibri" w:hAnsi="Calibri" w:cs="Calibri"/>
          <w:i/>
          <w:iCs/>
          <w:color w:val="000000"/>
          <w:sz w:val="27"/>
          <w:szCs w:val="27"/>
        </w:rPr>
        <w:t>9</w:t>
      </w:r>
      <w:r w:rsidR="00A303FA" w:rsidRPr="00A303FA">
        <w:rPr>
          <w:rFonts w:ascii="Calibri" w:hAnsi="Calibri" w:cs="Calibri"/>
          <w:color w:val="000000"/>
          <w:sz w:val="27"/>
          <w:szCs w:val="27"/>
        </w:rPr>
        <w:t xml:space="preserve"> (12), 1942–1951. </w:t>
      </w:r>
      <w:hyperlink r:id="rId17" w:history="1">
        <w:r w:rsidR="00A303FA" w:rsidRPr="00A303FA">
          <w:rPr>
            <w:rStyle w:val="Hyperlink"/>
            <w:rFonts w:ascii="Calibri" w:hAnsi="Calibri" w:cs="Calibri"/>
            <w:sz w:val="27"/>
            <w:szCs w:val="27"/>
          </w:rPr>
          <w:t>https://doi.org/10.1109/jsen.2009.2032052</w:t>
        </w:r>
      </w:hyperlink>
      <w:r w:rsidR="00A303FA" w:rsidRPr="00A303FA">
        <w:rPr>
          <w:rFonts w:ascii="Calibri" w:hAnsi="Calibri" w:cs="Calibri"/>
          <w:color w:val="000000"/>
          <w:sz w:val="27"/>
          <w:szCs w:val="27"/>
        </w:rPr>
        <w:t>.</w:t>
      </w:r>
    </w:p>
    <w:p w14:paraId="1D21C39F" w14:textId="69FF7E97" w:rsidR="003C187A" w:rsidRDefault="00A303FA" w:rsidP="003C187A">
      <w:pPr>
        <w:rPr>
          <w:rFonts w:ascii="Calibri" w:hAnsi="Calibri" w:cs="Calibri"/>
          <w:color w:val="000000"/>
          <w:sz w:val="27"/>
          <w:szCs w:val="27"/>
        </w:rPr>
      </w:pPr>
      <w:r w:rsidRPr="003C187A">
        <w:rPr>
          <w:rFonts w:ascii="Calibri" w:hAnsi="Calibri" w:cs="Calibri"/>
          <w:b/>
          <w:bCs/>
          <w:color w:val="000000"/>
          <w:sz w:val="27"/>
          <w:szCs w:val="27"/>
        </w:rPr>
        <w:t>[6]</w:t>
      </w:r>
      <w:r>
        <w:rPr>
          <w:rFonts w:ascii="Calibri" w:hAnsi="Calibri" w:cs="Calibri"/>
          <w:color w:val="000000"/>
          <w:sz w:val="27"/>
          <w:szCs w:val="27"/>
        </w:rPr>
        <w:t xml:space="preserve"> </w:t>
      </w:r>
      <w:proofErr w:type="spellStart"/>
      <w:r w:rsidR="003C187A">
        <w:rPr>
          <w:rFonts w:ascii="Calibri" w:hAnsi="Calibri" w:cs="Calibri"/>
          <w:color w:val="000000"/>
          <w:sz w:val="27"/>
          <w:szCs w:val="27"/>
        </w:rPr>
        <w:t>Schröter</w:t>
      </w:r>
      <w:proofErr w:type="spellEnd"/>
      <w:r w:rsidR="003C187A">
        <w:rPr>
          <w:rFonts w:ascii="Calibri" w:hAnsi="Calibri" w:cs="Calibri"/>
          <w:color w:val="000000"/>
          <w:sz w:val="27"/>
          <w:szCs w:val="27"/>
        </w:rPr>
        <w:t xml:space="preserve">, E.; </w:t>
      </w:r>
      <w:proofErr w:type="spellStart"/>
      <w:r w:rsidR="003C187A">
        <w:rPr>
          <w:rFonts w:ascii="Calibri" w:hAnsi="Calibri" w:cs="Calibri"/>
          <w:color w:val="000000"/>
          <w:sz w:val="27"/>
          <w:szCs w:val="27"/>
        </w:rPr>
        <w:t>Stolze</w:t>
      </w:r>
      <w:proofErr w:type="spellEnd"/>
      <w:r w:rsidR="003C187A">
        <w:rPr>
          <w:rFonts w:ascii="Calibri" w:hAnsi="Calibri" w:cs="Calibri"/>
          <w:color w:val="000000"/>
          <w:sz w:val="27"/>
          <w:szCs w:val="27"/>
        </w:rPr>
        <w:t>, C.; Saal, A.; Schreyer, K.; Hager, M. D.; Schubert, U. S. All-Organic Redox Targeting with a Single Redox Moiety: Combining Organic Radical Batteries and Organic Redox Flow Batteries. </w:t>
      </w:r>
      <w:r w:rsidR="003C187A">
        <w:rPr>
          <w:rFonts w:ascii="Calibri" w:hAnsi="Calibri" w:cs="Calibri"/>
          <w:i/>
          <w:iCs/>
          <w:color w:val="000000"/>
          <w:sz w:val="27"/>
          <w:szCs w:val="27"/>
        </w:rPr>
        <w:t>ACS Applied Materials &amp; Interfaces</w:t>
      </w:r>
      <w:r w:rsidR="003C187A">
        <w:rPr>
          <w:rFonts w:ascii="Calibri" w:hAnsi="Calibri" w:cs="Calibri"/>
          <w:color w:val="000000"/>
          <w:sz w:val="27"/>
          <w:szCs w:val="27"/>
        </w:rPr>
        <w:t> </w:t>
      </w:r>
      <w:r w:rsidR="003C187A">
        <w:rPr>
          <w:rFonts w:ascii="Calibri" w:hAnsi="Calibri" w:cs="Calibri"/>
          <w:b/>
          <w:bCs/>
          <w:color w:val="000000"/>
          <w:sz w:val="27"/>
          <w:szCs w:val="27"/>
        </w:rPr>
        <w:t>2022</w:t>
      </w:r>
      <w:r w:rsidR="003C187A">
        <w:rPr>
          <w:rFonts w:ascii="Calibri" w:hAnsi="Calibri" w:cs="Calibri"/>
          <w:color w:val="000000"/>
          <w:sz w:val="27"/>
          <w:szCs w:val="27"/>
        </w:rPr>
        <w:t>, </w:t>
      </w:r>
      <w:r w:rsidR="003C187A">
        <w:rPr>
          <w:rFonts w:ascii="Calibri" w:hAnsi="Calibri" w:cs="Calibri"/>
          <w:i/>
          <w:iCs/>
          <w:color w:val="000000"/>
          <w:sz w:val="27"/>
          <w:szCs w:val="27"/>
        </w:rPr>
        <w:t>14</w:t>
      </w:r>
      <w:r w:rsidR="003C187A">
        <w:rPr>
          <w:rFonts w:ascii="Calibri" w:hAnsi="Calibri" w:cs="Calibri"/>
          <w:color w:val="000000"/>
          <w:sz w:val="27"/>
          <w:szCs w:val="27"/>
        </w:rPr>
        <w:t xml:space="preserve"> (5), 6638–6648. </w:t>
      </w:r>
      <w:hyperlink r:id="rId18" w:history="1">
        <w:r w:rsidR="003C187A" w:rsidRPr="00443586">
          <w:rPr>
            <w:rStyle w:val="Hyperlink"/>
            <w:rFonts w:ascii="Calibri" w:hAnsi="Calibri" w:cs="Calibri"/>
            <w:sz w:val="27"/>
            <w:szCs w:val="27"/>
          </w:rPr>
          <w:t>https://doi.org/10.1021/acsami.1c21122</w:t>
        </w:r>
      </w:hyperlink>
      <w:r w:rsidR="003C187A">
        <w:rPr>
          <w:rFonts w:ascii="Calibri" w:hAnsi="Calibri" w:cs="Calibri"/>
          <w:color w:val="000000"/>
          <w:sz w:val="27"/>
          <w:szCs w:val="27"/>
        </w:rPr>
        <w:t>.</w:t>
      </w:r>
    </w:p>
    <w:p w14:paraId="1A4D8137" w14:textId="0F3530EE" w:rsidR="003C187A" w:rsidRDefault="00BA10F4" w:rsidP="003C187A">
      <w:pPr>
        <w:rPr>
          <w:rFonts w:ascii="Calibri" w:hAnsi="Calibri" w:cs="Calibri"/>
          <w:color w:val="000000"/>
          <w:sz w:val="27"/>
          <w:szCs w:val="27"/>
        </w:rPr>
      </w:pPr>
      <w:r w:rsidRPr="006B773B">
        <w:rPr>
          <w:rFonts w:ascii="Calibri" w:hAnsi="Calibri" w:cs="Calibri"/>
          <w:b/>
          <w:bCs/>
          <w:color w:val="000000"/>
          <w:sz w:val="27"/>
          <w:szCs w:val="27"/>
        </w:rPr>
        <w:t>[7]</w:t>
      </w:r>
      <w:r w:rsidR="006B773B">
        <w:rPr>
          <w:rFonts w:ascii="Calibri" w:hAnsi="Calibri" w:cs="Calibri"/>
          <w:color w:val="000000"/>
          <w:sz w:val="27"/>
          <w:szCs w:val="27"/>
        </w:rPr>
        <w:t xml:space="preserve"> </w:t>
      </w:r>
      <w:r w:rsidR="006B773B" w:rsidRPr="006B773B">
        <w:rPr>
          <w:rFonts w:ascii="Calibri" w:hAnsi="Calibri" w:cs="Calibri"/>
          <w:color w:val="000000"/>
          <w:sz w:val="27"/>
          <w:szCs w:val="27"/>
        </w:rPr>
        <w:t>Burgess, M.; Moore, J. S.; Rodríguez-López, J. Redox Active Polymers as Soluble Nanomaterials for Energy Storage. </w:t>
      </w:r>
      <w:r w:rsidR="006B773B" w:rsidRPr="006B773B">
        <w:rPr>
          <w:rFonts w:ascii="Calibri" w:hAnsi="Calibri" w:cs="Calibri"/>
          <w:i/>
          <w:iCs/>
          <w:color w:val="000000"/>
          <w:sz w:val="27"/>
          <w:szCs w:val="27"/>
        </w:rPr>
        <w:t>Accounts of Chemical Research</w:t>
      </w:r>
      <w:r w:rsidR="006B773B" w:rsidRPr="006B773B">
        <w:rPr>
          <w:rFonts w:ascii="Calibri" w:hAnsi="Calibri" w:cs="Calibri"/>
          <w:color w:val="000000"/>
          <w:sz w:val="27"/>
          <w:szCs w:val="27"/>
        </w:rPr>
        <w:t> </w:t>
      </w:r>
      <w:r w:rsidR="006B773B" w:rsidRPr="006B773B">
        <w:rPr>
          <w:rFonts w:ascii="Calibri" w:hAnsi="Calibri" w:cs="Calibri"/>
          <w:b/>
          <w:bCs/>
          <w:color w:val="000000"/>
          <w:sz w:val="27"/>
          <w:szCs w:val="27"/>
        </w:rPr>
        <w:t>2016</w:t>
      </w:r>
      <w:r w:rsidR="006B773B" w:rsidRPr="006B773B">
        <w:rPr>
          <w:rFonts w:ascii="Calibri" w:hAnsi="Calibri" w:cs="Calibri"/>
          <w:color w:val="000000"/>
          <w:sz w:val="27"/>
          <w:szCs w:val="27"/>
        </w:rPr>
        <w:t>, </w:t>
      </w:r>
      <w:r w:rsidR="006B773B" w:rsidRPr="006B773B">
        <w:rPr>
          <w:rFonts w:ascii="Calibri" w:hAnsi="Calibri" w:cs="Calibri"/>
          <w:i/>
          <w:iCs/>
          <w:color w:val="000000"/>
          <w:sz w:val="27"/>
          <w:szCs w:val="27"/>
        </w:rPr>
        <w:t>49</w:t>
      </w:r>
      <w:r w:rsidR="006B773B" w:rsidRPr="006B773B">
        <w:rPr>
          <w:rFonts w:ascii="Calibri" w:hAnsi="Calibri" w:cs="Calibri"/>
          <w:color w:val="000000"/>
          <w:sz w:val="27"/>
          <w:szCs w:val="27"/>
        </w:rPr>
        <w:t xml:space="preserve"> (11), 2649–2657. </w:t>
      </w:r>
      <w:hyperlink r:id="rId19" w:history="1">
        <w:r w:rsidR="006B773B" w:rsidRPr="00443586">
          <w:rPr>
            <w:rStyle w:val="Hyperlink"/>
            <w:rFonts w:ascii="Calibri" w:hAnsi="Calibri" w:cs="Calibri"/>
            <w:sz w:val="27"/>
            <w:szCs w:val="27"/>
          </w:rPr>
          <w:t>https://doi.org/10.1021/acs.accounts.6b00341</w:t>
        </w:r>
      </w:hyperlink>
      <w:r w:rsidR="006B773B" w:rsidRPr="006B773B">
        <w:rPr>
          <w:rFonts w:ascii="Calibri" w:hAnsi="Calibri" w:cs="Calibri"/>
          <w:color w:val="000000"/>
          <w:sz w:val="27"/>
          <w:szCs w:val="27"/>
        </w:rPr>
        <w:t>.</w:t>
      </w:r>
    </w:p>
    <w:p w14:paraId="32945F90" w14:textId="77777777" w:rsidR="006B773B" w:rsidRDefault="006B773B" w:rsidP="003C187A">
      <w:pPr>
        <w:rPr>
          <w:rFonts w:ascii="Calibri" w:hAnsi="Calibri" w:cs="Calibri"/>
          <w:color w:val="000000"/>
          <w:sz w:val="27"/>
          <w:szCs w:val="27"/>
        </w:rPr>
      </w:pPr>
    </w:p>
    <w:p w14:paraId="335A5FF6" w14:textId="77777777" w:rsidR="003C187A" w:rsidRDefault="003C187A" w:rsidP="003C187A">
      <w:pPr>
        <w:pStyle w:val="NormalWeb"/>
        <w:rPr>
          <w:rFonts w:ascii="Calibri" w:hAnsi="Calibri" w:cs="Calibri"/>
          <w:color w:val="000000"/>
          <w:sz w:val="27"/>
          <w:szCs w:val="27"/>
        </w:rPr>
      </w:pPr>
      <w:r>
        <w:rPr>
          <w:rFonts w:ascii="Calibri" w:hAnsi="Calibri" w:cs="Calibri"/>
          <w:color w:val="000000"/>
          <w:sz w:val="27"/>
          <w:szCs w:val="27"/>
        </w:rPr>
        <w:t>‌</w:t>
      </w:r>
    </w:p>
    <w:p w14:paraId="0478C973" w14:textId="2D2038DC" w:rsidR="00A303FA" w:rsidRPr="00A303FA" w:rsidRDefault="00A303FA" w:rsidP="00A303FA">
      <w:pPr>
        <w:rPr>
          <w:rFonts w:ascii="Calibri" w:hAnsi="Calibri" w:cs="Calibri"/>
          <w:color w:val="000000"/>
          <w:sz w:val="27"/>
          <w:szCs w:val="27"/>
        </w:rPr>
      </w:pPr>
    </w:p>
    <w:p w14:paraId="4F3E6EA9" w14:textId="77777777" w:rsidR="00A303FA" w:rsidRPr="00A303FA" w:rsidRDefault="00A303FA" w:rsidP="00A303FA">
      <w:pPr>
        <w:rPr>
          <w:rFonts w:ascii="Calibri" w:hAnsi="Calibri" w:cs="Calibri"/>
          <w:color w:val="000000"/>
          <w:sz w:val="27"/>
          <w:szCs w:val="27"/>
        </w:rPr>
      </w:pPr>
      <w:r w:rsidRPr="00A303FA">
        <w:rPr>
          <w:rFonts w:ascii="Calibri" w:hAnsi="Calibri" w:cs="Calibri"/>
          <w:color w:val="000000"/>
          <w:sz w:val="27"/>
          <w:szCs w:val="27"/>
        </w:rPr>
        <w:t>‌</w:t>
      </w:r>
    </w:p>
    <w:p w14:paraId="18709F40" w14:textId="29282722" w:rsidR="00595203" w:rsidRPr="00F60E17" w:rsidRDefault="00595203" w:rsidP="00507906">
      <w:pPr>
        <w:rPr>
          <w:rFonts w:ascii="Calibri" w:hAnsi="Calibri" w:cs="Calibri"/>
          <w:color w:val="000000"/>
          <w:sz w:val="27"/>
          <w:szCs w:val="27"/>
        </w:rPr>
      </w:pPr>
    </w:p>
    <w:p w14:paraId="04382E21" w14:textId="145095BA" w:rsidR="004D0EEC" w:rsidRPr="004D0EEC" w:rsidRDefault="004D0EEC" w:rsidP="00DD69D8">
      <w:pPr>
        <w:rPr>
          <w:rFonts w:ascii="Arial" w:hAnsi="Arial" w:cs="Arial"/>
          <w:b/>
          <w:bCs/>
        </w:rPr>
      </w:pPr>
    </w:p>
    <w:sectPr w:rsidR="004D0EEC" w:rsidRPr="004D0E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174245"/>
    <w:multiLevelType w:val="hybridMultilevel"/>
    <w:tmpl w:val="2522D2FE"/>
    <w:lvl w:ilvl="0" w:tplc="E2F2E3E0">
      <w:start w:val="1"/>
      <w:numFmt w:val="bullet"/>
      <w:lvlText w:val="•"/>
      <w:lvlJc w:val="left"/>
      <w:pPr>
        <w:tabs>
          <w:tab w:val="num" w:pos="720"/>
        </w:tabs>
        <w:ind w:left="720" w:hanging="360"/>
      </w:pPr>
      <w:rPr>
        <w:rFonts w:ascii="Arial" w:hAnsi="Arial" w:hint="default"/>
      </w:rPr>
    </w:lvl>
    <w:lvl w:ilvl="1" w:tplc="A9A22182">
      <w:start w:val="1"/>
      <w:numFmt w:val="bullet"/>
      <w:lvlText w:val="•"/>
      <w:lvlJc w:val="left"/>
      <w:pPr>
        <w:tabs>
          <w:tab w:val="num" w:pos="1440"/>
        </w:tabs>
        <w:ind w:left="1440" w:hanging="360"/>
      </w:pPr>
      <w:rPr>
        <w:rFonts w:ascii="Arial" w:hAnsi="Arial" w:hint="default"/>
      </w:rPr>
    </w:lvl>
    <w:lvl w:ilvl="2" w:tplc="E29E5AAE" w:tentative="1">
      <w:start w:val="1"/>
      <w:numFmt w:val="bullet"/>
      <w:lvlText w:val="•"/>
      <w:lvlJc w:val="left"/>
      <w:pPr>
        <w:tabs>
          <w:tab w:val="num" w:pos="2160"/>
        </w:tabs>
        <w:ind w:left="2160" w:hanging="360"/>
      </w:pPr>
      <w:rPr>
        <w:rFonts w:ascii="Arial" w:hAnsi="Arial" w:hint="default"/>
      </w:rPr>
    </w:lvl>
    <w:lvl w:ilvl="3" w:tplc="3912D94C" w:tentative="1">
      <w:start w:val="1"/>
      <w:numFmt w:val="bullet"/>
      <w:lvlText w:val="•"/>
      <w:lvlJc w:val="left"/>
      <w:pPr>
        <w:tabs>
          <w:tab w:val="num" w:pos="2880"/>
        </w:tabs>
        <w:ind w:left="2880" w:hanging="360"/>
      </w:pPr>
      <w:rPr>
        <w:rFonts w:ascii="Arial" w:hAnsi="Arial" w:hint="default"/>
      </w:rPr>
    </w:lvl>
    <w:lvl w:ilvl="4" w:tplc="D0BC589E" w:tentative="1">
      <w:start w:val="1"/>
      <w:numFmt w:val="bullet"/>
      <w:lvlText w:val="•"/>
      <w:lvlJc w:val="left"/>
      <w:pPr>
        <w:tabs>
          <w:tab w:val="num" w:pos="3600"/>
        </w:tabs>
        <w:ind w:left="3600" w:hanging="360"/>
      </w:pPr>
      <w:rPr>
        <w:rFonts w:ascii="Arial" w:hAnsi="Arial" w:hint="default"/>
      </w:rPr>
    </w:lvl>
    <w:lvl w:ilvl="5" w:tplc="284065BC" w:tentative="1">
      <w:start w:val="1"/>
      <w:numFmt w:val="bullet"/>
      <w:lvlText w:val="•"/>
      <w:lvlJc w:val="left"/>
      <w:pPr>
        <w:tabs>
          <w:tab w:val="num" w:pos="4320"/>
        </w:tabs>
        <w:ind w:left="4320" w:hanging="360"/>
      </w:pPr>
      <w:rPr>
        <w:rFonts w:ascii="Arial" w:hAnsi="Arial" w:hint="default"/>
      </w:rPr>
    </w:lvl>
    <w:lvl w:ilvl="6" w:tplc="5B9CD1FA" w:tentative="1">
      <w:start w:val="1"/>
      <w:numFmt w:val="bullet"/>
      <w:lvlText w:val="•"/>
      <w:lvlJc w:val="left"/>
      <w:pPr>
        <w:tabs>
          <w:tab w:val="num" w:pos="5040"/>
        </w:tabs>
        <w:ind w:left="5040" w:hanging="360"/>
      </w:pPr>
      <w:rPr>
        <w:rFonts w:ascii="Arial" w:hAnsi="Arial" w:hint="default"/>
      </w:rPr>
    </w:lvl>
    <w:lvl w:ilvl="7" w:tplc="DC90111C" w:tentative="1">
      <w:start w:val="1"/>
      <w:numFmt w:val="bullet"/>
      <w:lvlText w:val="•"/>
      <w:lvlJc w:val="left"/>
      <w:pPr>
        <w:tabs>
          <w:tab w:val="num" w:pos="5760"/>
        </w:tabs>
        <w:ind w:left="5760" w:hanging="360"/>
      </w:pPr>
      <w:rPr>
        <w:rFonts w:ascii="Arial" w:hAnsi="Arial" w:hint="default"/>
      </w:rPr>
    </w:lvl>
    <w:lvl w:ilvl="8" w:tplc="A532D91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961052D"/>
    <w:multiLevelType w:val="hybridMultilevel"/>
    <w:tmpl w:val="9CDE9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59145">
    <w:abstractNumId w:val="0"/>
  </w:num>
  <w:num w:numId="2" w16cid:durableId="1151947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882"/>
    <w:rsid w:val="00002BED"/>
    <w:rsid w:val="00003A3F"/>
    <w:rsid w:val="00021590"/>
    <w:rsid w:val="00051D95"/>
    <w:rsid w:val="00087207"/>
    <w:rsid w:val="000929BA"/>
    <w:rsid w:val="00096DCE"/>
    <w:rsid w:val="000A45A2"/>
    <w:rsid w:val="000C31A0"/>
    <w:rsid w:val="000E553F"/>
    <w:rsid w:val="000F08F5"/>
    <w:rsid w:val="00132226"/>
    <w:rsid w:val="00141D5D"/>
    <w:rsid w:val="001A2A4F"/>
    <w:rsid w:val="001D31A8"/>
    <w:rsid w:val="001E6088"/>
    <w:rsid w:val="001F2E60"/>
    <w:rsid w:val="002029DE"/>
    <w:rsid w:val="00221933"/>
    <w:rsid w:val="00235C82"/>
    <w:rsid w:val="0024139C"/>
    <w:rsid w:val="00273662"/>
    <w:rsid w:val="002904CE"/>
    <w:rsid w:val="002D4F23"/>
    <w:rsid w:val="00321A23"/>
    <w:rsid w:val="00347357"/>
    <w:rsid w:val="00364FD5"/>
    <w:rsid w:val="003731DC"/>
    <w:rsid w:val="00386FC0"/>
    <w:rsid w:val="003A0CEF"/>
    <w:rsid w:val="003B3F93"/>
    <w:rsid w:val="003B690B"/>
    <w:rsid w:val="003B76CD"/>
    <w:rsid w:val="003C187A"/>
    <w:rsid w:val="003C6860"/>
    <w:rsid w:val="00400A2A"/>
    <w:rsid w:val="00402AB7"/>
    <w:rsid w:val="00405113"/>
    <w:rsid w:val="0043424C"/>
    <w:rsid w:val="004869F6"/>
    <w:rsid w:val="00487916"/>
    <w:rsid w:val="00492F1B"/>
    <w:rsid w:val="004A04B6"/>
    <w:rsid w:val="004D0EEC"/>
    <w:rsid w:val="004D41A9"/>
    <w:rsid w:val="004E0F64"/>
    <w:rsid w:val="00506F48"/>
    <w:rsid w:val="00507906"/>
    <w:rsid w:val="00547321"/>
    <w:rsid w:val="00553435"/>
    <w:rsid w:val="00553849"/>
    <w:rsid w:val="005706CD"/>
    <w:rsid w:val="005747A5"/>
    <w:rsid w:val="0057565F"/>
    <w:rsid w:val="005844F5"/>
    <w:rsid w:val="00595203"/>
    <w:rsid w:val="00596BDA"/>
    <w:rsid w:val="00596E38"/>
    <w:rsid w:val="005A24ED"/>
    <w:rsid w:val="005D069C"/>
    <w:rsid w:val="005D3855"/>
    <w:rsid w:val="005E4ABC"/>
    <w:rsid w:val="0060447D"/>
    <w:rsid w:val="00626E50"/>
    <w:rsid w:val="00670516"/>
    <w:rsid w:val="00686AA1"/>
    <w:rsid w:val="006B6F5C"/>
    <w:rsid w:val="006B773B"/>
    <w:rsid w:val="006F7F4B"/>
    <w:rsid w:val="00704544"/>
    <w:rsid w:val="0074272F"/>
    <w:rsid w:val="00760386"/>
    <w:rsid w:val="007A1218"/>
    <w:rsid w:val="007C79CE"/>
    <w:rsid w:val="007D7D65"/>
    <w:rsid w:val="00804318"/>
    <w:rsid w:val="008510EB"/>
    <w:rsid w:val="00851330"/>
    <w:rsid w:val="00856FCE"/>
    <w:rsid w:val="00871CC9"/>
    <w:rsid w:val="008729E1"/>
    <w:rsid w:val="008A037E"/>
    <w:rsid w:val="008C1062"/>
    <w:rsid w:val="008C3473"/>
    <w:rsid w:val="008F4399"/>
    <w:rsid w:val="00905C9C"/>
    <w:rsid w:val="0092031A"/>
    <w:rsid w:val="00941093"/>
    <w:rsid w:val="009644D5"/>
    <w:rsid w:val="0096767C"/>
    <w:rsid w:val="00983160"/>
    <w:rsid w:val="009914FC"/>
    <w:rsid w:val="009F5316"/>
    <w:rsid w:val="009F72E2"/>
    <w:rsid w:val="00A11448"/>
    <w:rsid w:val="00A303FA"/>
    <w:rsid w:val="00A41AAF"/>
    <w:rsid w:val="00A566E9"/>
    <w:rsid w:val="00A77966"/>
    <w:rsid w:val="00A86186"/>
    <w:rsid w:val="00A9011D"/>
    <w:rsid w:val="00A97B68"/>
    <w:rsid w:val="00AF03FB"/>
    <w:rsid w:val="00AF44C8"/>
    <w:rsid w:val="00B066DF"/>
    <w:rsid w:val="00B22FF7"/>
    <w:rsid w:val="00B254E3"/>
    <w:rsid w:val="00B31AC1"/>
    <w:rsid w:val="00BA10F4"/>
    <w:rsid w:val="00BB2FF7"/>
    <w:rsid w:val="00BD4920"/>
    <w:rsid w:val="00BE0BD1"/>
    <w:rsid w:val="00BE7C72"/>
    <w:rsid w:val="00C00A0D"/>
    <w:rsid w:val="00C52AB1"/>
    <w:rsid w:val="00C7162B"/>
    <w:rsid w:val="00C95990"/>
    <w:rsid w:val="00CA7C92"/>
    <w:rsid w:val="00CB5520"/>
    <w:rsid w:val="00D01E76"/>
    <w:rsid w:val="00D373C6"/>
    <w:rsid w:val="00D5034B"/>
    <w:rsid w:val="00DB4C23"/>
    <w:rsid w:val="00DC5A88"/>
    <w:rsid w:val="00DD69D8"/>
    <w:rsid w:val="00DD7F93"/>
    <w:rsid w:val="00DE4DED"/>
    <w:rsid w:val="00DE7BDC"/>
    <w:rsid w:val="00DF2CCE"/>
    <w:rsid w:val="00E158F8"/>
    <w:rsid w:val="00E50D93"/>
    <w:rsid w:val="00E85FB0"/>
    <w:rsid w:val="00EA3A86"/>
    <w:rsid w:val="00EA6AB2"/>
    <w:rsid w:val="00EB4591"/>
    <w:rsid w:val="00EF6F03"/>
    <w:rsid w:val="00F01A79"/>
    <w:rsid w:val="00F16E7D"/>
    <w:rsid w:val="00F2472D"/>
    <w:rsid w:val="00F24882"/>
    <w:rsid w:val="00F3584A"/>
    <w:rsid w:val="00F43000"/>
    <w:rsid w:val="00F60E17"/>
    <w:rsid w:val="00F633D3"/>
    <w:rsid w:val="00F96FA0"/>
    <w:rsid w:val="00FD707D"/>
    <w:rsid w:val="00FF58F7"/>
    <w:rsid w:val="00FF6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FE3B348"/>
  <w15:chartTrackingRefBased/>
  <w15:docId w15:val="{07B1CD9E-1C00-7248-9955-F137825A9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906"/>
    <w:rPr>
      <w:rFonts w:ascii="Times New Roman" w:eastAsia="Times New Roman" w:hAnsi="Times New Roman" w:cs="Times New Roman"/>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5C9C"/>
    <w:rPr>
      <w:color w:val="0563C1" w:themeColor="hyperlink"/>
      <w:u w:val="single"/>
    </w:rPr>
  </w:style>
  <w:style w:type="character" w:styleId="UnresolvedMention">
    <w:name w:val="Unresolved Mention"/>
    <w:basedOn w:val="DefaultParagraphFont"/>
    <w:uiPriority w:val="99"/>
    <w:semiHidden/>
    <w:unhideWhenUsed/>
    <w:rsid w:val="00905C9C"/>
    <w:rPr>
      <w:color w:val="605E5C"/>
      <w:shd w:val="clear" w:color="auto" w:fill="E1DFDD"/>
    </w:rPr>
  </w:style>
  <w:style w:type="paragraph" w:styleId="NormalWeb">
    <w:name w:val="Normal (Web)"/>
    <w:basedOn w:val="Normal"/>
    <w:uiPriority w:val="99"/>
    <w:semiHidden/>
    <w:unhideWhenUsed/>
    <w:rsid w:val="00F60E17"/>
    <w:pPr>
      <w:spacing w:before="100" w:beforeAutospacing="1" w:after="100" w:afterAutospacing="1"/>
    </w:pPr>
  </w:style>
  <w:style w:type="character" w:styleId="PlaceholderText">
    <w:name w:val="Placeholder Text"/>
    <w:basedOn w:val="DefaultParagraphFont"/>
    <w:uiPriority w:val="99"/>
    <w:semiHidden/>
    <w:rsid w:val="009F72E2"/>
    <w:rPr>
      <w:color w:val="666666"/>
    </w:rPr>
  </w:style>
  <w:style w:type="paragraph" w:styleId="ListParagraph">
    <w:name w:val="List Paragraph"/>
    <w:basedOn w:val="Normal"/>
    <w:uiPriority w:val="34"/>
    <w:qFormat/>
    <w:rsid w:val="00E158F8"/>
    <w:pPr>
      <w:ind w:left="720"/>
      <w:contextualSpacing/>
    </w:pPr>
    <w:rPr>
      <w:rFonts w:asciiTheme="minorHAnsi" w:eastAsiaTheme="minorEastAsia" w:hAnsiTheme="minorHAnsi" w:cstheme="minorBid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313271">
      <w:bodyDiv w:val="1"/>
      <w:marLeft w:val="0"/>
      <w:marRight w:val="0"/>
      <w:marTop w:val="0"/>
      <w:marBottom w:val="0"/>
      <w:divBdr>
        <w:top w:val="none" w:sz="0" w:space="0" w:color="auto"/>
        <w:left w:val="none" w:sz="0" w:space="0" w:color="auto"/>
        <w:bottom w:val="none" w:sz="0" w:space="0" w:color="auto"/>
        <w:right w:val="none" w:sz="0" w:space="0" w:color="auto"/>
      </w:divBdr>
      <w:divsChild>
        <w:div w:id="1257834214">
          <w:marLeft w:val="0"/>
          <w:marRight w:val="720"/>
          <w:marTop w:val="0"/>
          <w:marBottom w:val="0"/>
          <w:divBdr>
            <w:top w:val="none" w:sz="0" w:space="0" w:color="auto"/>
            <w:left w:val="none" w:sz="0" w:space="0" w:color="auto"/>
            <w:bottom w:val="none" w:sz="0" w:space="0" w:color="auto"/>
            <w:right w:val="none" w:sz="0" w:space="0" w:color="auto"/>
          </w:divBdr>
        </w:div>
        <w:div w:id="656304350">
          <w:marLeft w:val="0"/>
          <w:marRight w:val="0"/>
          <w:marTop w:val="0"/>
          <w:marBottom w:val="0"/>
          <w:divBdr>
            <w:top w:val="none" w:sz="0" w:space="0" w:color="auto"/>
            <w:left w:val="none" w:sz="0" w:space="0" w:color="auto"/>
            <w:bottom w:val="none" w:sz="0" w:space="0" w:color="auto"/>
            <w:right w:val="none" w:sz="0" w:space="0" w:color="auto"/>
          </w:divBdr>
        </w:div>
      </w:divsChild>
    </w:div>
    <w:div w:id="1442072194">
      <w:bodyDiv w:val="1"/>
      <w:marLeft w:val="0"/>
      <w:marRight w:val="0"/>
      <w:marTop w:val="0"/>
      <w:marBottom w:val="0"/>
      <w:divBdr>
        <w:top w:val="none" w:sz="0" w:space="0" w:color="auto"/>
        <w:left w:val="none" w:sz="0" w:space="0" w:color="auto"/>
        <w:bottom w:val="none" w:sz="0" w:space="0" w:color="auto"/>
        <w:right w:val="none" w:sz="0" w:space="0" w:color="auto"/>
      </w:divBdr>
      <w:divsChild>
        <w:div w:id="2028172374">
          <w:marLeft w:val="0"/>
          <w:marRight w:val="720"/>
          <w:marTop w:val="0"/>
          <w:marBottom w:val="0"/>
          <w:divBdr>
            <w:top w:val="none" w:sz="0" w:space="0" w:color="auto"/>
            <w:left w:val="none" w:sz="0" w:space="0" w:color="auto"/>
            <w:bottom w:val="none" w:sz="0" w:space="0" w:color="auto"/>
            <w:right w:val="none" w:sz="0" w:space="0" w:color="auto"/>
          </w:divBdr>
        </w:div>
        <w:div w:id="994141226">
          <w:marLeft w:val="0"/>
          <w:marRight w:val="0"/>
          <w:marTop w:val="0"/>
          <w:marBottom w:val="0"/>
          <w:divBdr>
            <w:top w:val="none" w:sz="0" w:space="0" w:color="auto"/>
            <w:left w:val="none" w:sz="0" w:space="0" w:color="auto"/>
            <w:bottom w:val="none" w:sz="0" w:space="0" w:color="auto"/>
            <w:right w:val="none" w:sz="0" w:space="0" w:color="auto"/>
          </w:divBdr>
        </w:div>
      </w:divsChild>
    </w:div>
    <w:div w:id="1539513909">
      <w:bodyDiv w:val="1"/>
      <w:marLeft w:val="0"/>
      <w:marRight w:val="0"/>
      <w:marTop w:val="0"/>
      <w:marBottom w:val="0"/>
      <w:divBdr>
        <w:top w:val="none" w:sz="0" w:space="0" w:color="auto"/>
        <w:left w:val="none" w:sz="0" w:space="0" w:color="auto"/>
        <w:bottom w:val="none" w:sz="0" w:space="0" w:color="auto"/>
        <w:right w:val="none" w:sz="0" w:space="0" w:color="auto"/>
      </w:divBdr>
      <w:divsChild>
        <w:div w:id="1608466686">
          <w:marLeft w:val="0"/>
          <w:marRight w:val="720"/>
          <w:marTop w:val="0"/>
          <w:marBottom w:val="0"/>
          <w:divBdr>
            <w:top w:val="none" w:sz="0" w:space="0" w:color="auto"/>
            <w:left w:val="none" w:sz="0" w:space="0" w:color="auto"/>
            <w:bottom w:val="none" w:sz="0" w:space="0" w:color="auto"/>
            <w:right w:val="none" w:sz="0" w:space="0" w:color="auto"/>
          </w:divBdr>
        </w:div>
        <w:div w:id="1604415965">
          <w:marLeft w:val="0"/>
          <w:marRight w:val="0"/>
          <w:marTop w:val="0"/>
          <w:marBottom w:val="0"/>
          <w:divBdr>
            <w:top w:val="none" w:sz="0" w:space="0" w:color="auto"/>
            <w:left w:val="none" w:sz="0" w:space="0" w:color="auto"/>
            <w:bottom w:val="none" w:sz="0" w:space="0" w:color="auto"/>
            <w:right w:val="none" w:sz="0" w:space="0" w:color="auto"/>
          </w:divBdr>
        </w:div>
      </w:divsChild>
    </w:div>
    <w:div w:id="1579245000">
      <w:bodyDiv w:val="1"/>
      <w:marLeft w:val="0"/>
      <w:marRight w:val="0"/>
      <w:marTop w:val="0"/>
      <w:marBottom w:val="0"/>
      <w:divBdr>
        <w:top w:val="none" w:sz="0" w:space="0" w:color="auto"/>
        <w:left w:val="none" w:sz="0" w:space="0" w:color="auto"/>
        <w:bottom w:val="none" w:sz="0" w:space="0" w:color="auto"/>
        <w:right w:val="none" w:sz="0" w:space="0" w:color="auto"/>
      </w:divBdr>
      <w:divsChild>
        <w:div w:id="1230311091">
          <w:marLeft w:val="0"/>
          <w:marRight w:val="720"/>
          <w:marTop w:val="0"/>
          <w:marBottom w:val="0"/>
          <w:divBdr>
            <w:top w:val="none" w:sz="0" w:space="0" w:color="auto"/>
            <w:left w:val="none" w:sz="0" w:space="0" w:color="auto"/>
            <w:bottom w:val="none" w:sz="0" w:space="0" w:color="auto"/>
            <w:right w:val="none" w:sz="0" w:space="0" w:color="auto"/>
          </w:divBdr>
        </w:div>
        <w:div w:id="1951468133">
          <w:marLeft w:val="0"/>
          <w:marRight w:val="0"/>
          <w:marTop w:val="0"/>
          <w:marBottom w:val="0"/>
          <w:divBdr>
            <w:top w:val="none" w:sz="0" w:space="0" w:color="auto"/>
            <w:left w:val="none" w:sz="0" w:space="0" w:color="auto"/>
            <w:bottom w:val="none" w:sz="0" w:space="0" w:color="auto"/>
            <w:right w:val="none" w:sz="0" w:space="0" w:color="auto"/>
          </w:divBdr>
        </w:div>
      </w:divsChild>
    </w:div>
    <w:div w:id="2022465204">
      <w:bodyDiv w:val="1"/>
      <w:marLeft w:val="0"/>
      <w:marRight w:val="0"/>
      <w:marTop w:val="0"/>
      <w:marBottom w:val="0"/>
      <w:divBdr>
        <w:top w:val="none" w:sz="0" w:space="0" w:color="auto"/>
        <w:left w:val="none" w:sz="0" w:space="0" w:color="auto"/>
        <w:bottom w:val="none" w:sz="0" w:space="0" w:color="auto"/>
        <w:right w:val="none" w:sz="0" w:space="0" w:color="auto"/>
      </w:divBdr>
      <w:divsChild>
        <w:div w:id="869144107">
          <w:marLeft w:val="1267"/>
          <w:marRight w:val="0"/>
          <w:marTop w:val="0"/>
          <w:marBottom w:val="0"/>
          <w:divBdr>
            <w:top w:val="none" w:sz="0" w:space="0" w:color="auto"/>
            <w:left w:val="none" w:sz="0" w:space="0" w:color="auto"/>
            <w:bottom w:val="none" w:sz="0" w:space="0" w:color="auto"/>
            <w:right w:val="none" w:sz="0" w:space="0" w:color="auto"/>
          </w:divBdr>
        </w:div>
        <w:div w:id="785735311">
          <w:marLeft w:val="1267"/>
          <w:marRight w:val="0"/>
          <w:marTop w:val="0"/>
          <w:marBottom w:val="0"/>
          <w:divBdr>
            <w:top w:val="none" w:sz="0" w:space="0" w:color="auto"/>
            <w:left w:val="none" w:sz="0" w:space="0" w:color="auto"/>
            <w:bottom w:val="none" w:sz="0" w:space="0" w:color="auto"/>
            <w:right w:val="none" w:sz="0" w:space="0" w:color="auto"/>
          </w:divBdr>
        </w:div>
        <w:div w:id="1018772230">
          <w:marLeft w:val="1267"/>
          <w:marRight w:val="0"/>
          <w:marTop w:val="0"/>
          <w:marBottom w:val="0"/>
          <w:divBdr>
            <w:top w:val="none" w:sz="0" w:space="0" w:color="auto"/>
            <w:left w:val="none" w:sz="0" w:space="0" w:color="auto"/>
            <w:bottom w:val="none" w:sz="0" w:space="0" w:color="auto"/>
            <w:right w:val="none" w:sz="0" w:space="0" w:color="auto"/>
          </w:divBdr>
        </w:div>
      </w:divsChild>
    </w:div>
    <w:div w:id="2049644091">
      <w:bodyDiv w:val="1"/>
      <w:marLeft w:val="0"/>
      <w:marRight w:val="0"/>
      <w:marTop w:val="0"/>
      <w:marBottom w:val="0"/>
      <w:divBdr>
        <w:top w:val="none" w:sz="0" w:space="0" w:color="auto"/>
        <w:left w:val="none" w:sz="0" w:space="0" w:color="auto"/>
        <w:bottom w:val="none" w:sz="0" w:space="0" w:color="auto"/>
        <w:right w:val="none" w:sz="0" w:space="0" w:color="auto"/>
      </w:divBdr>
      <w:divsChild>
        <w:div w:id="1006438046">
          <w:marLeft w:val="0"/>
          <w:marRight w:val="720"/>
          <w:marTop w:val="0"/>
          <w:marBottom w:val="0"/>
          <w:divBdr>
            <w:top w:val="none" w:sz="0" w:space="0" w:color="auto"/>
            <w:left w:val="none" w:sz="0" w:space="0" w:color="auto"/>
            <w:bottom w:val="none" w:sz="0" w:space="0" w:color="auto"/>
            <w:right w:val="none" w:sz="0" w:space="0" w:color="auto"/>
          </w:divBdr>
        </w:div>
        <w:div w:id="1660579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ncei.noaa.gov/access/monitoring/monthly-report/global/202213" TargetMode="External"/><Relationship Id="rId18" Type="http://schemas.openxmlformats.org/officeDocument/2006/relationships/hyperlink" Target="https://doi.org/10.1021/acsami.1c2112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gif"/><Relationship Id="rId12" Type="http://schemas.openxmlformats.org/officeDocument/2006/relationships/image" Target="media/image7.jpeg"/><Relationship Id="rId17" Type="http://schemas.openxmlformats.org/officeDocument/2006/relationships/hyperlink" Target="https://doi.org/10.1109/jsen.2009.2032052" TargetMode="External"/><Relationship Id="rId2" Type="http://schemas.openxmlformats.org/officeDocument/2006/relationships/styles" Target="styles.xml"/><Relationship Id="rId16" Type="http://schemas.openxmlformats.org/officeDocument/2006/relationships/hyperlink" Target="https://doi.org/10.1016/j.joule.2017.08.01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mailto:ziruiw2@illinois.edu" TargetMode="External"/><Relationship Id="rId15" Type="http://schemas.openxmlformats.org/officeDocument/2006/relationships/hyperlink" Target="https://doi.org/10.3390/molecules201119711" TargetMode="External"/><Relationship Id="rId10" Type="http://schemas.openxmlformats.org/officeDocument/2006/relationships/image" Target="media/image5.png"/><Relationship Id="rId19" Type="http://schemas.openxmlformats.org/officeDocument/2006/relationships/hyperlink" Target="https://doi.org/10.1021/acs.accounts.6b00341"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doi.org/10.1021/ja30914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2032</Words>
  <Characters>11588</Characters>
  <Application>Microsoft Office Word</Application>
  <DocSecurity>0</DocSecurity>
  <Lines>96</Lines>
  <Paragraphs>27</Paragraphs>
  <ScaleCrop>false</ScaleCrop>
  <Company/>
  <LinksUpToDate>false</LinksUpToDate>
  <CharactersWithSpaces>13593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Zirui</dc:creator>
  <cp:keywords/>
  <dc:description/>
  <cp:lastModifiedBy>Wang, Zirui</cp:lastModifiedBy>
  <cp:revision>2</cp:revision>
  <dcterms:created xsi:type="dcterms:W3CDTF">2023-12-06T04:27:00Z</dcterms:created>
  <dcterms:modified xsi:type="dcterms:W3CDTF">2023-12-06T04:27:00Z</dcterms:modified>
</cp:coreProperties>
</file>